
<file path=[Content_Types].xml><?xml version="1.0" encoding="utf-8"?>
<Types xmlns="http://schemas.openxmlformats.org/package/2006/content-types">
  <Default Extension="jpeg" ContentType="image/jpeg"/>
  <Default Extension="JPG" ContentType="image/.jpg"/>
  <Default Extension="wmf" ContentType="image/x-wmf"/>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方正小标宋简体" w:hAnsi="方正小标宋简体" w:eastAsia="方正小标宋简体" w:cs="方正小标宋简体"/>
          <w:b w:val="0"/>
          <w:bCs w:val="0"/>
          <w:sz w:val="44"/>
          <w:szCs w:val="44"/>
        </w:rPr>
      </w:pPr>
      <w:r>
        <w:rPr>
          <w:rFonts w:hint="eastAsia" w:ascii="方正小标宋简体" w:hAnsi="方正小标宋简体" w:eastAsia="方正小标宋简体" w:cs="方正小标宋简体"/>
          <w:b w:val="0"/>
          <w:bCs w:val="0"/>
          <w:sz w:val="44"/>
          <w:szCs w:val="44"/>
        </w:rPr>
        <w:t>彭家蓬水库防洪抢险应急预案</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1  总则</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1.1  编制目的</w:t>
      </w:r>
    </w:p>
    <w:p>
      <w:pPr>
        <w:widowControl/>
        <w:shd w:val="clear" w:color="auto" w:fill="FFFFFF"/>
        <w:snapToGrid w:val="0"/>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kern w:val="0"/>
          <w:sz w:val="28"/>
          <w:szCs w:val="28"/>
        </w:rPr>
        <w:t>为预防灾害性水文气候和工程本身突发性重大险情和各种突发事件发生时，有效保护国家和人民生命财产安全，最大限度地防止和减轻灾害损失，保证水库安全，结合彭家蓬水库自身特点和工程实际，特编制本预案。</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1.2  编制依据</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《应急预案》的编制依据是《中华人民共和国防洪法》、《中华人民共和国防汛条例》、《水库大坝安全管理条例》等有关法律、法规、规章以及有关技术规范、规程和经批准的水库汛期调度运用计划。</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2  基本情况</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2.1  工程概况</w:t>
      </w:r>
    </w:p>
    <w:p>
      <w:pPr>
        <w:widowControl/>
        <w:spacing w:line="560" w:lineRule="exact"/>
        <w:ind w:firstLine="560" w:firstLineChars="200"/>
        <w:jc w:val="left"/>
        <w:rPr>
          <w:rFonts w:hint="eastAsia" w:ascii="宋体" w:hAnsi="宋体" w:eastAsia="宋体" w:cs="宋体"/>
          <w:kern w:val="1"/>
          <w:sz w:val="28"/>
          <w:szCs w:val="28"/>
        </w:rPr>
      </w:pPr>
      <w:r>
        <w:rPr>
          <w:rFonts w:hint="eastAsia" w:ascii="宋体" w:hAnsi="宋体" w:eastAsia="宋体" w:cs="宋体"/>
          <w:kern w:val="1"/>
          <w:sz w:val="28"/>
          <w:szCs w:val="28"/>
        </w:rPr>
        <w:t>该工程扩建于1996年，2010年溢洪道进行拓宽处理，2014年进行除险加固达到现有规模。集雨面积1.5平方公里，总库容16万m3，有效库容9万m3，防洪库容6.3万m3，坝顶高程76.8米，最大坝高13.3米，坝顶长度96.5米，溢洪道底板高程73.66米，底宽7.8米，设计洪水标准20年一遇，灌溉放水采用斜管型式放水，涵管直径0.8米，灌溉面积200亩，是一座以灌溉为主，兼有防洪等综合效益的小（二）型水库。水库枢纽建筑物主要由大坝、溢洪道、灌溉引水系统和渠系工程等组成。工程等别为Ⅴ等，永久性主要建筑物为5级，次要建筑物属5级。</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水库聘用了1名水库安全管理员负责日常管理工作，聘用了1名水库维养人员负责日常维养工作。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水库暂无主要安全问题。</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2.2  防洪调度方式</w:t>
      </w:r>
    </w:p>
    <w:p>
      <w:pPr>
        <w:ind w:firstLine="560" w:firstLineChars="200"/>
        <w:rPr>
          <w:rFonts w:hint="eastAsia" w:ascii="宋体" w:hAnsi="宋体" w:eastAsia="宋体" w:cs="宋体"/>
          <w:kern w:val="1"/>
          <w:sz w:val="28"/>
          <w:szCs w:val="28"/>
        </w:rPr>
      </w:pPr>
      <w:r>
        <w:rPr>
          <w:rFonts w:hint="eastAsia" w:ascii="宋体" w:hAnsi="宋体" w:eastAsia="宋体" w:cs="宋体"/>
          <w:kern w:val="1"/>
          <w:sz w:val="28"/>
          <w:szCs w:val="28"/>
        </w:rPr>
        <w:t>主汛期为4－6月，汛期限制水位73.66m；后汛期7－9月，汛期限制水位73.66m。</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1）水库未达到汛限水位的防范措施。 开展以防汛为中心的安全检查，查缺陷，查隐患，主要对大坝、溢洪道、放水设施、防汛应急物资等进行全面认真地检查，发现缺陷和问题及时组织整改处理。</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2）水库水位达到汛限水位又遭遇洪水的主要措施</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a.水库防汛负责人、直接责任人、技术人员、安全管理员全部到岗到位，坚持24小时值班，并及时观测收集分析水雨情的变化情况。</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b.加强巡查，保证溢洪道泄洪通畅。</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c.加强与气象、水文、防汛部门的联系，及时上报水库水、雨、工情。</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3）当出现险情时或出现超标准洪水的主要措施</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a、水库的防汛调度工作坚决服从县、镇防指的领导和指挥。</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b、一般险情，利用电话、手机等通信设备及时向县、镇防汛部门汇报，并疏散周围受影响群众。</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c、当出现较危急汛情时，抢险队伍和抢险的防汛物资及时到位。并联系当地武警、民兵及干部职工进行抢险。</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d、出现危急汛情或出现超标准洪水时立即转移下游受威胁群众，并及时把汛情汇报给当地人民政府。本村干部负责此期间的交通管制，以确保人民的生命财产和国家财产的安全。</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2.3  历史险情及抢险情况</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本工程历史无险情发生。</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3  应急保障</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3.1  组织保障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行政责任人：</w:t>
      </w:r>
      <w:r>
        <w:rPr>
          <w:rFonts w:hint="eastAsia" w:ascii="宋体" w:hAnsi="宋体" w:eastAsia="宋体" w:cs="宋体"/>
          <w:bCs/>
          <w:sz w:val="28"/>
          <w:szCs w:val="28"/>
        </w:rPr>
        <w:t>周奇峰</w:t>
      </w:r>
      <w:r>
        <w:rPr>
          <w:rFonts w:hint="eastAsia" w:ascii="宋体" w:hAnsi="宋体" w:eastAsia="宋体" w:cs="宋体"/>
          <w:sz w:val="28"/>
          <w:szCs w:val="28"/>
        </w:rPr>
        <w:t>，联系电话：</w:t>
      </w:r>
      <w:r>
        <w:rPr>
          <w:rFonts w:hint="eastAsia" w:ascii="宋体" w:hAnsi="宋体" w:eastAsia="宋体" w:cs="宋体"/>
          <w:bCs/>
          <w:sz w:val="28"/>
          <w:szCs w:val="28"/>
        </w:rPr>
        <w:t>13807986618</w:t>
      </w:r>
      <w:r>
        <w:rPr>
          <w:rFonts w:hint="eastAsia" w:ascii="宋体" w:hAnsi="宋体" w:eastAsia="宋体" w:cs="宋体"/>
          <w:sz w:val="28"/>
          <w:szCs w:val="28"/>
        </w:rPr>
        <w:t>，负责督促及时处理影响安全度汛的有关问题；督促开展水库汛前及汛期安全检查；督促制订水库防洪调度运用计划及防洪抢险应急预案；督促开展防汛值守、安全监测、管理维护、雨水情工情等防汛信息监测及报送；督促执行防洪调度指令和经批准的水库防洪调度运用计划；督促落实防汛经费、抢险队伍和物资储备；组织协调、现场指挥水库防洪和抢险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直接责任人：</w:t>
      </w:r>
      <w:r>
        <w:rPr>
          <w:rFonts w:hint="eastAsia" w:ascii="宋体" w:hAnsi="宋体" w:eastAsia="宋体" w:cs="宋体"/>
          <w:bCs/>
          <w:sz w:val="28"/>
          <w:szCs w:val="28"/>
        </w:rPr>
        <w:t>翟育勇</w:t>
      </w:r>
      <w:r>
        <w:rPr>
          <w:rFonts w:hint="eastAsia" w:ascii="宋体" w:hAnsi="宋体" w:eastAsia="宋体" w:cs="宋体"/>
          <w:sz w:val="28"/>
          <w:szCs w:val="28"/>
        </w:rPr>
        <w:t>，联系电话：</w:t>
      </w:r>
      <w:r>
        <w:rPr>
          <w:rFonts w:hint="eastAsia" w:ascii="宋体" w:hAnsi="宋体" w:eastAsia="宋体" w:cs="宋体"/>
          <w:bCs/>
          <w:sz w:val="28"/>
          <w:szCs w:val="28"/>
        </w:rPr>
        <w:t>13507985038</w:t>
      </w:r>
      <w:r>
        <w:rPr>
          <w:rFonts w:hint="eastAsia" w:ascii="宋体" w:hAnsi="宋体" w:eastAsia="宋体" w:cs="宋体"/>
          <w:sz w:val="28"/>
          <w:szCs w:val="28"/>
        </w:rPr>
        <w:t>；负责执行防洪调度指令和经批准的防洪调度运用计划；负责组织水库防汛安全检查和安全隐患处置；负责组织水库防汛值守、安全监测、管理维护、雨水情工情等防汛信息监测及报送；负责落实防汛经费；负责储备防汛物资、落实抢险队伍、组织防洪应急抢险；负责按有关规定做好水库大坝安全鉴定工作。</w:t>
      </w:r>
    </w:p>
    <w:p>
      <w:pPr>
        <w:ind w:firstLine="560" w:firstLineChars="200"/>
        <w:jc w:val="left"/>
        <w:rPr>
          <w:rFonts w:hint="eastAsia" w:ascii="宋体" w:hAnsi="宋体" w:eastAsia="宋体" w:cs="宋体"/>
          <w:bCs/>
          <w:sz w:val="28"/>
          <w:szCs w:val="28"/>
        </w:rPr>
      </w:pPr>
      <w:r>
        <w:rPr>
          <w:rFonts w:hint="eastAsia" w:ascii="宋体" w:hAnsi="宋体" w:eastAsia="宋体" w:cs="宋体"/>
          <w:sz w:val="28"/>
          <w:szCs w:val="28"/>
        </w:rPr>
        <w:t>技术责任人：</w:t>
      </w:r>
      <w:r>
        <w:rPr>
          <w:rFonts w:hint="eastAsia" w:ascii="宋体" w:hAnsi="宋体" w:eastAsia="宋体" w:cs="宋体"/>
          <w:bCs/>
          <w:sz w:val="28"/>
          <w:szCs w:val="28"/>
        </w:rPr>
        <w:t>彭长寿</w:t>
      </w:r>
      <w:r>
        <w:rPr>
          <w:rFonts w:hint="eastAsia" w:ascii="宋体" w:hAnsi="宋体" w:eastAsia="宋体" w:cs="宋体"/>
          <w:sz w:val="28"/>
          <w:szCs w:val="28"/>
        </w:rPr>
        <w:t>，联系电话：</w:t>
      </w:r>
      <w:r>
        <w:rPr>
          <w:rFonts w:hint="eastAsia" w:ascii="宋体" w:hAnsi="宋体" w:eastAsia="宋体" w:cs="宋体"/>
          <w:bCs/>
          <w:sz w:val="28"/>
          <w:szCs w:val="28"/>
        </w:rPr>
        <w:t>13707987619</w:t>
      </w:r>
      <w:r>
        <w:rPr>
          <w:rFonts w:hint="eastAsia" w:ascii="宋体" w:hAnsi="宋体" w:eastAsia="宋体" w:cs="宋体"/>
          <w:sz w:val="28"/>
          <w:szCs w:val="28"/>
        </w:rPr>
        <w:t>；负责制订水库防洪调度运用计划及防洪抢险应急预案；负责组织制定水库险情应急处置方案；负责指导水库洪水预测预报工作。</w:t>
      </w:r>
    </w:p>
    <w:p>
      <w:pPr>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kern w:val="0"/>
          <w:sz w:val="28"/>
          <w:szCs w:val="28"/>
        </w:rPr>
        <w:t>巡查责任人：</w:t>
      </w:r>
      <w:r>
        <w:rPr>
          <w:rFonts w:hint="eastAsia" w:ascii="宋体" w:hAnsi="宋体" w:eastAsia="宋体" w:cs="宋体"/>
          <w:color w:val="000000"/>
          <w:kern w:val="0"/>
          <w:sz w:val="28"/>
          <w:szCs w:val="28"/>
        </w:rPr>
        <w:t>胡长军</w:t>
      </w:r>
      <w:r>
        <w:rPr>
          <w:rFonts w:hint="eastAsia" w:ascii="宋体" w:hAnsi="宋体" w:eastAsia="宋体" w:cs="宋体"/>
          <w:kern w:val="0"/>
          <w:sz w:val="28"/>
          <w:szCs w:val="28"/>
        </w:rPr>
        <w:t>，联系电话：</w:t>
      </w:r>
      <w:r>
        <w:rPr>
          <w:rFonts w:hint="eastAsia" w:ascii="宋体" w:hAnsi="宋体" w:eastAsia="宋体" w:cs="宋体"/>
          <w:sz w:val="28"/>
          <w:szCs w:val="28"/>
        </w:rPr>
        <w:t>13807988876</w:t>
      </w:r>
      <w:r>
        <w:rPr>
          <w:rFonts w:hint="eastAsia" w:ascii="宋体" w:hAnsi="宋体" w:eastAsia="宋体" w:cs="宋体"/>
          <w:kern w:val="0"/>
          <w:sz w:val="28"/>
          <w:szCs w:val="28"/>
        </w:rPr>
        <w:t>；负责水雨情的观测和报汛工作；负责按要求对工程进行巡查，发现隐患或险情立即报告水库行政责任人；负责水库坝容坝貌和现场防汛物料管理；负责执行防洪调度指令和经批准的防洪调度运用计划。</w:t>
      </w:r>
    </w:p>
    <w:p>
      <w:pPr>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kern w:val="0"/>
          <w:sz w:val="28"/>
          <w:szCs w:val="28"/>
        </w:rPr>
        <w:t>成立彭家蓬水库应急抢险临时指挥部，</w:t>
      </w:r>
      <w:r>
        <w:rPr>
          <w:rFonts w:hint="eastAsia" w:ascii="宋体" w:hAnsi="宋体" w:eastAsia="宋体" w:cs="宋体"/>
          <w:sz w:val="28"/>
          <w:szCs w:val="28"/>
        </w:rPr>
        <w:t>镇党委委员副镇长</w:t>
      </w:r>
      <w:r>
        <w:rPr>
          <w:rFonts w:hint="eastAsia" w:ascii="宋体" w:hAnsi="宋体" w:eastAsia="宋体" w:cs="宋体"/>
          <w:bCs/>
          <w:sz w:val="28"/>
          <w:szCs w:val="28"/>
        </w:rPr>
        <w:t>翟育勇</w:t>
      </w:r>
      <w:r>
        <w:rPr>
          <w:rFonts w:hint="eastAsia" w:ascii="宋体" w:hAnsi="宋体" w:eastAsia="宋体" w:cs="宋体"/>
          <w:sz w:val="28"/>
          <w:szCs w:val="28"/>
        </w:rPr>
        <w:t>任指挥，联系电话：</w:t>
      </w:r>
      <w:r>
        <w:rPr>
          <w:rFonts w:hint="eastAsia" w:ascii="宋体" w:hAnsi="宋体" w:eastAsia="宋体" w:cs="宋体"/>
          <w:bCs/>
          <w:sz w:val="28"/>
          <w:szCs w:val="28"/>
        </w:rPr>
        <w:t>13507985038</w:t>
      </w:r>
      <w:r>
        <w:rPr>
          <w:rFonts w:hint="eastAsia" w:ascii="宋体" w:hAnsi="宋体" w:eastAsia="宋体" w:cs="宋体"/>
          <w:sz w:val="28"/>
          <w:szCs w:val="28"/>
        </w:rPr>
        <w:t>负责组织协调、现场指挥水库防洪和抢险工作；</w:t>
      </w:r>
      <w:r>
        <w:rPr>
          <w:rFonts w:hint="eastAsia" w:ascii="宋体" w:hAnsi="宋体" w:eastAsia="宋体" w:cs="宋体"/>
          <w:kern w:val="0"/>
          <w:sz w:val="28"/>
          <w:szCs w:val="28"/>
        </w:rPr>
        <w:t>成员有:</w:t>
      </w:r>
      <w:r>
        <w:rPr>
          <w:rFonts w:hint="eastAsia" w:ascii="宋体" w:hAnsi="宋体" w:eastAsia="宋体" w:cs="宋体"/>
          <w:color w:val="000000"/>
          <w:kern w:val="0"/>
          <w:sz w:val="28"/>
          <w:szCs w:val="28"/>
        </w:rPr>
        <w:t>胡长军</w:t>
      </w:r>
      <w:r>
        <w:rPr>
          <w:rFonts w:hint="eastAsia" w:ascii="宋体" w:hAnsi="宋体" w:eastAsia="宋体" w:cs="宋体"/>
          <w:kern w:val="0"/>
          <w:sz w:val="28"/>
          <w:szCs w:val="28"/>
        </w:rPr>
        <w:t>，联系电话：</w:t>
      </w:r>
      <w:r>
        <w:rPr>
          <w:rFonts w:hint="eastAsia" w:ascii="宋体" w:hAnsi="宋体" w:eastAsia="宋体" w:cs="宋体"/>
          <w:sz w:val="28"/>
          <w:szCs w:val="28"/>
        </w:rPr>
        <w:t>13807988876负责信息监测；</w:t>
      </w:r>
      <w:r>
        <w:rPr>
          <w:rFonts w:hint="eastAsia" w:ascii="宋体" w:hAnsi="宋体" w:eastAsia="宋体" w:cs="宋体"/>
          <w:kern w:val="0"/>
          <w:sz w:val="28"/>
          <w:szCs w:val="28"/>
        </w:rPr>
        <w:t>丰景勤</w:t>
      </w:r>
      <w:r>
        <w:rPr>
          <w:rFonts w:hint="eastAsia" w:ascii="宋体" w:hAnsi="宋体" w:eastAsia="宋体" w:cs="宋体"/>
          <w:sz w:val="28"/>
          <w:szCs w:val="28"/>
        </w:rPr>
        <w:t>负责转移安置</w:t>
      </w:r>
      <w:r>
        <w:rPr>
          <w:rFonts w:hint="eastAsia" w:ascii="宋体" w:hAnsi="宋体" w:eastAsia="宋体" w:cs="宋体"/>
          <w:kern w:val="0"/>
          <w:sz w:val="28"/>
          <w:szCs w:val="28"/>
        </w:rPr>
        <w:t>:</w:t>
      </w:r>
      <w:r>
        <w:rPr>
          <w:rFonts w:hint="eastAsia" w:ascii="宋体" w:hAnsi="宋体" w:eastAsia="宋体" w:cs="宋体"/>
          <w:sz w:val="28"/>
          <w:szCs w:val="28"/>
        </w:rPr>
        <w:t>电话：15347988166；</w:t>
      </w:r>
      <w:r>
        <w:rPr>
          <w:rFonts w:hint="eastAsia" w:ascii="宋体" w:hAnsi="宋体" w:eastAsia="宋体" w:cs="宋体"/>
          <w:kern w:val="0"/>
          <w:sz w:val="28"/>
          <w:szCs w:val="28"/>
        </w:rPr>
        <w:t>汪丽英</w:t>
      </w:r>
      <w:r>
        <w:rPr>
          <w:rFonts w:hint="eastAsia" w:ascii="宋体" w:hAnsi="宋体" w:eastAsia="宋体" w:cs="宋体"/>
          <w:sz w:val="28"/>
          <w:szCs w:val="28"/>
        </w:rPr>
        <w:t>负责临时生活保障</w:t>
      </w:r>
      <w:r>
        <w:rPr>
          <w:rFonts w:hint="eastAsia" w:ascii="宋体" w:hAnsi="宋体" w:eastAsia="宋体" w:cs="宋体"/>
          <w:kern w:val="0"/>
          <w:sz w:val="28"/>
          <w:szCs w:val="28"/>
        </w:rPr>
        <w:t>（</w:t>
      </w:r>
      <w:r>
        <w:rPr>
          <w:rFonts w:hint="eastAsia" w:ascii="宋体" w:hAnsi="宋体" w:eastAsia="宋体" w:cs="宋体"/>
          <w:sz w:val="28"/>
          <w:szCs w:val="28"/>
        </w:rPr>
        <w:t>电话：13707982100）；</w:t>
      </w:r>
      <w:r>
        <w:rPr>
          <w:rFonts w:hint="eastAsia" w:ascii="宋体" w:hAnsi="宋体" w:eastAsia="宋体" w:cs="宋体"/>
          <w:kern w:val="0"/>
          <w:sz w:val="28"/>
          <w:szCs w:val="28"/>
        </w:rPr>
        <w:t>丰华荣</w:t>
      </w:r>
      <w:r>
        <w:rPr>
          <w:rFonts w:hint="eastAsia" w:ascii="宋体" w:hAnsi="宋体" w:eastAsia="宋体" w:cs="宋体"/>
          <w:sz w:val="28"/>
          <w:szCs w:val="28"/>
        </w:rPr>
        <w:t>负责组织应急抢险队伍</w:t>
      </w:r>
      <w:r>
        <w:rPr>
          <w:rFonts w:hint="eastAsia" w:ascii="宋体" w:hAnsi="宋体" w:eastAsia="宋体" w:cs="宋体"/>
          <w:kern w:val="0"/>
          <w:sz w:val="28"/>
          <w:szCs w:val="28"/>
        </w:rPr>
        <w:t>（</w:t>
      </w:r>
      <w:r>
        <w:rPr>
          <w:rFonts w:hint="eastAsia" w:ascii="宋体" w:hAnsi="宋体" w:eastAsia="宋体" w:cs="宋体"/>
          <w:sz w:val="28"/>
          <w:szCs w:val="28"/>
        </w:rPr>
        <w:t>电话：15807980893）。</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3.2  队伍保障</w:t>
      </w:r>
    </w:p>
    <w:p>
      <w:pPr>
        <w:widowControl/>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kern w:val="0"/>
          <w:sz w:val="28"/>
          <w:szCs w:val="28"/>
        </w:rPr>
        <w:t>队长由丰华荣担任，</w:t>
      </w:r>
      <w:r>
        <w:rPr>
          <w:rFonts w:hint="eastAsia" w:ascii="宋体" w:hAnsi="宋体" w:eastAsia="宋体" w:cs="宋体"/>
          <w:sz w:val="28"/>
          <w:szCs w:val="28"/>
        </w:rPr>
        <w:t>电话：15347988166</w:t>
      </w:r>
      <w:r>
        <w:rPr>
          <w:rFonts w:hint="eastAsia" w:ascii="宋体" w:hAnsi="宋体" w:eastAsia="宋体" w:cs="宋体"/>
          <w:kern w:val="0"/>
          <w:sz w:val="28"/>
          <w:szCs w:val="28"/>
        </w:rPr>
        <w:t xml:space="preserve">，并负责召集务工在家的村干部、组干部、党员、民兵及青壮年劳动力等30人。 </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3.3  物资保障</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现场储备砂卵石10方、块石5方、编织袋150只、木头10根等应急抢险物资，管理人员</w:t>
      </w:r>
      <w:r>
        <w:rPr>
          <w:rFonts w:hint="eastAsia" w:ascii="宋体" w:hAnsi="宋体" w:eastAsia="宋体" w:cs="宋体"/>
          <w:color w:val="000000"/>
          <w:kern w:val="0"/>
          <w:sz w:val="28"/>
          <w:szCs w:val="28"/>
        </w:rPr>
        <w:t>胡长军</w:t>
      </w:r>
      <w:r>
        <w:rPr>
          <w:rFonts w:hint="eastAsia" w:ascii="宋体" w:hAnsi="宋体" w:eastAsia="宋体" w:cs="宋体"/>
          <w:kern w:val="0"/>
          <w:sz w:val="28"/>
          <w:szCs w:val="28"/>
        </w:rPr>
        <w:t>，联系电话：</w:t>
      </w:r>
      <w:r>
        <w:rPr>
          <w:rFonts w:hint="eastAsia" w:ascii="宋体" w:hAnsi="宋体" w:eastAsia="宋体" w:cs="宋体"/>
          <w:sz w:val="28"/>
          <w:szCs w:val="28"/>
        </w:rPr>
        <w:t>13807988876</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3.4  其它保障</w:t>
      </w:r>
    </w:p>
    <w:p>
      <w:pPr>
        <w:widowControl/>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kern w:val="0"/>
          <w:sz w:val="28"/>
          <w:szCs w:val="28"/>
        </w:rPr>
        <w:t>通信、交通、电力保障措施分别由通信、交通、电力单位做好抢修保障工作。双凤村委会负责组织汛前防洪抢险演练。</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4  巡查与险情处置</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4.1  巡查与险情报告</w:t>
      </w:r>
    </w:p>
    <w:p>
      <w:pPr>
        <w:snapToGrid w:val="0"/>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4.1.1工程安排专人管理,监测、巡查、重点巡查库水位、大坝是否有漏水，溢洪道是否畅通，涵管是否漏水。汛期每天查一次，遇到下雨天要增加巡查次数，下强降雨时要24小时有人值班巡查。</w:t>
      </w:r>
    </w:p>
    <w:p>
      <w:pPr>
        <w:snapToGrid w:val="0"/>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4.1.2平时的监测、巡查由水库管理员负责，并将每天巡查情况记录在册。下强降雨时由受益村负责人组织增加巡查人员。发现险情立即报告镇防指，如遇无法判断处理的险情，由镇防指及时向县防指汇报，并要求专家会诊，做到准确、科学地处理险情。</w:t>
      </w:r>
    </w:p>
    <w:p>
      <w:pPr>
        <w:spacing w:line="560" w:lineRule="exact"/>
        <w:ind w:firstLine="560" w:firstLineChars="200"/>
        <w:jc w:val="left"/>
        <w:outlineLvl w:val="1"/>
        <w:rPr>
          <w:rFonts w:hint="eastAsia" w:ascii="宋体" w:hAnsi="宋体" w:eastAsia="宋体" w:cs="宋体"/>
          <w:sz w:val="28"/>
          <w:szCs w:val="28"/>
        </w:rPr>
      </w:pPr>
      <w:r>
        <w:rPr>
          <w:rFonts w:hint="eastAsia" w:ascii="宋体" w:hAnsi="宋体" w:eastAsia="宋体" w:cs="宋体"/>
          <w:sz w:val="28"/>
          <w:szCs w:val="28"/>
        </w:rPr>
        <w:t>4.2  险情处置</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水库巡查人员发现险情后，立即报告水库直接责任人及行政责任人；应急抢险临时指挥部制定水库险情处置方案，组织抢险队伍实施抢险。险情处置完毕后，安排人员值守监测。</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若险情将威胁大坝安全，做好下游危险区人员转移安置准备。</w:t>
      </w:r>
    </w:p>
    <w:p>
      <w:pPr>
        <w:ind w:firstLine="562" w:firstLineChars="200"/>
        <w:outlineLvl w:val="0"/>
        <w:rPr>
          <w:rFonts w:hint="eastAsia" w:ascii="宋体" w:hAnsi="宋体" w:eastAsia="宋体" w:cs="宋体"/>
          <w:b/>
          <w:sz w:val="28"/>
          <w:szCs w:val="28"/>
        </w:rPr>
      </w:pPr>
      <w:r>
        <w:rPr>
          <w:rFonts w:hint="eastAsia" w:ascii="宋体" w:hAnsi="宋体" w:eastAsia="宋体" w:cs="宋体"/>
          <w:b/>
          <w:sz w:val="28"/>
          <w:szCs w:val="28"/>
        </w:rPr>
        <w:t>5、超标准洪水与溃坝洪水防御方案</w:t>
      </w:r>
    </w:p>
    <w:p>
      <w:pPr>
        <w:ind w:firstLine="560" w:firstLineChars="200"/>
        <w:outlineLvl w:val="1"/>
        <w:rPr>
          <w:rFonts w:hint="eastAsia" w:ascii="宋体" w:hAnsi="宋体" w:eastAsia="宋体" w:cs="宋体"/>
          <w:sz w:val="28"/>
          <w:szCs w:val="28"/>
        </w:rPr>
      </w:pPr>
      <w:r>
        <w:rPr>
          <w:rFonts w:hint="eastAsia" w:ascii="宋体" w:hAnsi="宋体" w:eastAsia="宋体" w:cs="宋体"/>
          <w:sz w:val="28"/>
          <w:szCs w:val="28"/>
        </w:rPr>
        <w:t>5.1  超标准洪水防御方案</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当水库上游流域内发生超标准洪水时，水库以保坝为原则，采取果断措施，排泄库内洪水，使洪水不漫坝，确保大坝安全。同时及时向县防汛指挥机构汇报，通知有关部门及时组织抢险队伍，按照防洪预案的具体要求，进行工程抢险及人员财产转移工作。当遇紧急情况时，及时发出紧急警报信号，同时，通过广播、电话等新闻媒体播送紧急通知，此时，防汛进入紧急状态。</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5.2  溃坝洪水防御方案</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1、若遇特大暴雨，水库水位上涨迅速，坝体发生异常，水库有溃坝迹象而又无法控制时，立即上报上级防汛部门，并立即与下游各级防汛单位取得联系，做好人员转移安置的准备工作。</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2、水库即将溃坝，由镇政府有组织地做好受淹地区人员的转移安置工作。并通过有线广播、电话和各种通讯工具通知水库下游沿河各村、组，迅速转移低洼地区的人员和财产。</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3、抢险队伍按照部署全部到位，做好抢险准备。</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4、防汛救灾物资准备齐全，防汛车辆全部到位。确保通往水库的道路畅通。</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5、配备好二种以上的通讯设备，随时保持与外界的联系</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6 人员转移与安置</w:t>
      </w:r>
    </w:p>
    <w:p>
      <w:pPr>
        <w:widowControl/>
        <w:spacing w:line="560" w:lineRule="exact"/>
        <w:ind w:firstLine="560" w:firstLineChars="200"/>
        <w:jc w:val="left"/>
        <w:rPr>
          <w:rFonts w:hint="eastAsia" w:ascii="宋体" w:hAnsi="宋体" w:eastAsia="宋体" w:cs="宋体"/>
          <w:kern w:val="0"/>
          <w:sz w:val="28"/>
          <w:szCs w:val="28"/>
        </w:rPr>
      </w:pPr>
      <w:r>
        <w:rPr>
          <w:rFonts w:hint="eastAsia" w:ascii="宋体" w:hAnsi="宋体" w:eastAsia="宋体" w:cs="宋体"/>
          <w:sz w:val="28"/>
          <w:szCs w:val="28"/>
        </w:rPr>
        <w:t>水库下游危险区范围有</w:t>
      </w:r>
      <w:r>
        <w:rPr>
          <w:rFonts w:hint="eastAsia" w:ascii="宋体" w:hAnsi="宋体" w:eastAsia="宋体" w:cs="宋体"/>
          <w:kern w:val="1"/>
          <w:sz w:val="28"/>
          <w:szCs w:val="28"/>
        </w:rPr>
        <w:t>彭家蓬村小组、谢家村小组，户数24户，人口80人，</w:t>
      </w:r>
      <w:r>
        <w:rPr>
          <w:rFonts w:hint="eastAsia" w:ascii="宋体" w:hAnsi="宋体" w:eastAsia="宋体" w:cs="宋体"/>
          <w:kern w:val="0"/>
          <w:sz w:val="28"/>
          <w:szCs w:val="28"/>
        </w:rPr>
        <w:t>转移安置负责人: 彭四清（</w:t>
      </w:r>
      <w:r>
        <w:rPr>
          <w:rFonts w:hint="eastAsia" w:ascii="宋体" w:hAnsi="宋体" w:eastAsia="宋体" w:cs="宋体"/>
          <w:sz w:val="28"/>
          <w:szCs w:val="28"/>
        </w:rPr>
        <w:t>电话：13707987619）</w:t>
      </w:r>
      <w:r>
        <w:rPr>
          <w:rFonts w:hint="eastAsia" w:ascii="宋体" w:hAnsi="宋体" w:eastAsia="宋体" w:cs="宋体"/>
          <w:kern w:val="0"/>
          <w:sz w:val="28"/>
          <w:szCs w:val="28"/>
        </w:rPr>
        <w:t>；转移对象：</w:t>
      </w:r>
      <w:r>
        <w:rPr>
          <w:rFonts w:hint="eastAsia" w:ascii="宋体" w:hAnsi="宋体" w:eastAsia="宋体" w:cs="宋体"/>
          <w:kern w:val="1"/>
          <w:sz w:val="28"/>
          <w:szCs w:val="28"/>
        </w:rPr>
        <w:t>彭家蓬村小组、谢家村小组，户数24户</w:t>
      </w:r>
      <w:r>
        <w:rPr>
          <w:rFonts w:hint="eastAsia" w:ascii="宋体" w:hAnsi="宋体" w:eastAsia="宋体" w:cs="宋体"/>
          <w:kern w:val="0"/>
          <w:sz w:val="28"/>
          <w:szCs w:val="28"/>
        </w:rPr>
        <w:t>；转移路线：就近；安置点：村后高地农户家；人员转移命令方式：鸣锣。</w:t>
      </w:r>
    </w:p>
    <w:p>
      <w:pPr>
        <w:spacing w:line="560" w:lineRule="exact"/>
        <w:ind w:firstLine="562" w:firstLineChars="200"/>
        <w:jc w:val="left"/>
        <w:outlineLvl w:val="0"/>
        <w:rPr>
          <w:rFonts w:hint="eastAsia" w:ascii="宋体" w:hAnsi="宋体" w:eastAsia="宋体" w:cs="宋体"/>
          <w:b/>
          <w:sz w:val="28"/>
          <w:szCs w:val="28"/>
        </w:rPr>
      </w:pPr>
      <w:r>
        <w:rPr>
          <w:rFonts w:hint="eastAsia" w:ascii="宋体" w:hAnsi="宋体" w:eastAsia="宋体" w:cs="宋体"/>
          <w:b/>
          <w:sz w:val="28"/>
          <w:szCs w:val="28"/>
        </w:rPr>
        <w:t>7 附图和附表</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图1. 水库地理位置示意图</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注：若下游有重要设施或重要保护对象，在图中予以标注。</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图2. 水库枢纽平面布置图</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图3. 人员转移安置示意图</w:t>
      </w:r>
    </w:p>
    <w:p>
      <w:pPr>
        <w:spacing w:line="560" w:lineRule="exact"/>
        <w:ind w:firstLine="560" w:firstLineChars="200"/>
        <w:jc w:val="left"/>
        <w:rPr>
          <w:rFonts w:hint="eastAsia" w:ascii="宋体" w:hAnsi="宋体" w:eastAsia="宋体" w:cs="宋体"/>
          <w:sz w:val="28"/>
          <w:szCs w:val="28"/>
        </w:rPr>
      </w:pPr>
      <w:r>
        <w:rPr>
          <w:rFonts w:hint="eastAsia" w:ascii="宋体" w:hAnsi="宋体" w:eastAsia="宋体" w:cs="宋体"/>
          <w:sz w:val="28"/>
          <w:szCs w:val="28"/>
        </w:rPr>
        <w:t>附表：</w:t>
      </w:r>
      <w:r>
        <w:rPr>
          <w:rFonts w:hint="eastAsia" w:ascii="宋体" w:hAnsi="宋体" w:eastAsia="宋体" w:cs="宋体"/>
          <w:sz w:val="28"/>
          <w:szCs w:val="28"/>
          <w:u w:val="single"/>
        </w:rPr>
        <w:t>2024</w:t>
      </w:r>
      <w:r>
        <w:rPr>
          <w:rFonts w:hint="eastAsia" w:ascii="宋体" w:hAnsi="宋体" w:eastAsia="宋体" w:cs="宋体"/>
          <w:sz w:val="28"/>
          <w:szCs w:val="28"/>
        </w:rPr>
        <w:t>年</w:t>
      </w:r>
      <w:r>
        <w:rPr>
          <w:rFonts w:hint="eastAsia" w:ascii="宋体" w:hAnsi="宋体" w:eastAsia="宋体" w:cs="宋体"/>
          <w:sz w:val="28"/>
          <w:szCs w:val="28"/>
          <w:u w:val="single"/>
        </w:rPr>
        <w:t>彭家蓬</w:t>
      </w:r>
      <w:r>
        <w:rPr>
          <w:rFonts w:hint="eastAsia" w:ascii="宋体" w:hAnsi="宋体" w:eastAsia="宋体" w:cs="宋体"/>
          <w:sz w:val="28"/>
          <w:szCs w:val="28"/>
        </w:rPr>
        <w:t>水库防洪抢险应急预案简表</w:t>
      </w:r>
    </w:p>
    <w:p>
      <w:pPr>
        <w:spacing w:line="560" w:lineRule="exact"/>
        <w:ind w:firstLine="560" w:firstLineChars="200"/>
        <w:jc w:val="left"/>
        <w:rPr>
          <w:rFonts w:ascii="仿宋" w:hAnsi="仿宋" w:eastAsia="仿宋"/>
          <w:sz w:val="28"/>
          <w:szCs w:val="28"/>
        </w:rPr>
      </w:pPr>
    </w:p>
    <w:p>
      <w:pPr>
        <w:spacing w:line="560" w:lineRule="exact"/>
        <w:ind w:firstLine="560" w:firstLineChars="200"/>
        <w:jc w:val="left"/>
        <w:rPr>
          <w:rFonts w:ascii="仿宋" w:hAnsi="仿宋" w:eastAsia="仿宋"/>
          <w:sz w:val="28"/>
          <w:szCs w:val="28"/>
        </w:rPr>
      </w:pPr>
    </w:p>
    <w:p>
      <w:pPr>
        <w:spacing w:line="240" w:lineRule="auto"/>
        <w:jc w:val="center"/>
        <w:rPr>
          <w:rFonts w:ascii="仿宋" w:hAnsi="仿宋" w:eastAsia="仿宋" w:cs="Times New Roman"/>
          <w:sz w:val="28"/>
          <w:szCs w:val="28"/>
        </w:rPr>
      </w:pPr>
      <w:r>
        <w:rPr>
          <w:rFonts w:ascii="仿宋" w:hAnsi="仿宋" w:eastAsia="仿宋" w:cs="Times New Roman"/>
          <w:sz w:val="28"/>
          <w:szCs w:val="28"/>
        </w:rPr>
        <w:pict>
          <v:shape id="_x0000_i1025" o:spt="75" type="#_x0000_t75" style="height:250pt;width:414.65pt;" filled="f" o:preferrelative="t" stroked="f" coordsize="21600,21600">
            <v:path/>
            <v:fill on="f" focussize="0,0"/>
            <v:stroke on="f" joinstyle="miter"/>
            <v:imagedata r:id="rId6" o:title="彭家蓬水库"/>
            <o:lock v:ext="edit" aspectratio="t"/>
            <w10:wrap type="none"/>
            <w10:anchorlock/>
          </v:shape>
        </w:pict>
      </w:r>
    </w:p>
    <w:p>
      <w:pPr>
        <w:spacing w:line="560" w:lineRule="exact"/>
        <w:jc w:val="center"/>
        <w:rPr>
          <w:rFonts w:ascii="仿宋" w:hAnsi="仿宋" w:eastAsia="仿宋"/>
          <w:sz w:val="28"/>
          <w:szCs w:val="28"/>
        </w:rPr>
      </w:pPr>
      <w:r>
        <w:rPr>
          <w:rFonts w:hint="eastAsia" w:ascii="仿宋" w:hAnsi="仿宋" w:eastAsia="仿宋"/>
          <w:sz w:val="28"/>
          <w:szCs w:val="28"/>
        </w:rPr>
        <w:t>水库地理位置示意图</w:t>
      </w:r>
    </w:p>
    <w:p>
      <w:pPr>
        <w:jc w:val="center"/>
      </w:pPr>
      <w:r>
        <w:drawing>
          <wp:inline distT="0" distB="0" distL="0" distR="0">
            <wp:extent cx="4411980" cy="4411980"/>
            <wp:effectExtent l="0" t="0" r="7088"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noChangeArrowheads="1"/>
                    </pic:cNvPicPr>
                  </pic:nvPicPr>
                  <pic:blipFill>
                    <a:blip r:embed="rId7" cstate="print"/>
                    <a:srcRect l="35731" t="19888" r="45564" b="36415"/>
                    <a:stretch>
                      <a:fillRect/>
                    </a:stretch>
                  </pic:blipFill>
                  <pic:spPr>
                    <a:xfrm>
                      <a:off x="0" y="0"/>
                      <a:ext cx="4412517" cy="4412512"/>
                    </a:xfrm>
                    <a:prstGeom prst="rect">
                      <a:avLst/>
                    </a:prstGeom>
                    <a:noFill/>
                    <a:ln w="9525">
                      <a:noFill/>
                      <a:miter lim="800000"/>
                      <a:headEnd/>
                      <a:tailEnd/>
                    </a:ln>
                  </pic:spPr>
                </pic:pic>
              </a:graphicData>
            </a:graphic>
          </wp:inline>
        </w:drawing>
      </w:r>
    </w:p>
    <w:p>
      <w:pPr>
        <w:widowControl/>
        <w:jc w:val="center"/>
      </w:pPr>
      <w:r>
        <w:rPr>
          <w:rFonts w:hint="eastAsia"/>
          <w:sz w:val="28"/>
          <w:szCs w:val="28"/>
        </w:rPr>
        <w:t>彭家蓬水库平面布置图</w:t>
      </w:r>
    </w:p>
    <w:p>
      <w:pPr>
        <w:spacing w:line="560" w:lineRule="exact"/>
        <w:jc w:val="center"/>
        <w:rPr>
          <w:rFonts w:ascii="仿宋" w:hAnsi="仿宋" w:eastAsia="仿宋" w:cs="Times New Roman"/>
          <w:sz w:val="28"/>
          <w:szCs w:val="28"/>
        </w:rPr>
      </w:pPr>
    </w:p>
    <w:p>
      <w:pPr>
        <w:spacing w:line="560" w:lineRule="exact"/>
        <w:jc w:val="center"/>
        <w:rPr>
          <w:rFonts w:ascii="仿宋" w:hAnsi="仿宋" w:eastAsia="仿宋" w:cs="Times New Roman"/>
          <w:sz w:val="28"/>
          <w:szCs w:val="28"/>
        </w:rPr>
      </w:pPr>
    </w:p>
    <w:p>
      <w:pPr>
        <w:spacing w:line="560" w:lineRule="exact"/>
        <w:jc w:val="center"/>
        <w:rPr>
          <w:rFonts w:ascii="仿宋" w:hAnsi="仿宋" w:eastAsia="仿宋" w:cs="Times New Roman"/>
          <w:sz w:val="28"/>
          <w:szCs w:val="28"/>
        </w:rPr>
      </w:pPr>
    </w:p>
    <w:p>
      <w:pPr>
        <w:jc w:val="left"/>
        <w:rPr>
          <w:b/>
          <w:sz w:val="36"/>
          <w:szCs w:val="36"/>
        </w:rPr>
      </w:pPr>
      <w:r>
        <w:rPr>
          <w:b/>
          <w:sz w:val="36"/>
          <w:szCs w:val="36"/>
        </w:rPr>
        <w:drawing>
          <wp:inline distT="0" distB="0" distL="0" distR="0">
            <wp:extent cx="2533650" cy="4212590"/>
            <wp:effectExtent l="19050" t="0" r="0" b="0"/>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noChangeArrowheads="1"/>
                    </pic:cNvPicPr>
                  </pic:nvPicPr>
                  <pic:blipFill>
                    <a:blip r:embed="rId8" cstate="print"/>
                    <a:srcRect/>
                    <a:stretch>
                      <a:fillRect/>
                    </a:stretch>
                  </pic:blipFill>
                  <pic:spPr>
                    <a:xfrm>
                      <a:off x="0" y="0"/>
                      <a:ext cx="2537615" cy="4219798"/>
                    </a:xfrm>
                    <a:prstGeom prst="rect">
                      <a:avLst/>
                    </a:prstGeom>
                    <a:noFill/>
                    <a:ln w="9525">
                      <a:noFill/>
                      <a:miter lim="800000"/>
                      <a:headEnd/>
                      <a:tailEnd/>
                    </a:ln>
                  </pic:spPr>
                </pic:pic>
              </a:graphicData>
            </a:graphic>
          </wp:inline>
        </w:drawing>
      </w:r>
      <w:r>
        <w:rPr>
          <w:rFonts w:hint="eastAsia"/>
          <w:b/>
          <w:sz w:val="36"/>
          <w:szCs w:val="36"/>
        </w:rPr>
        <w:t xml:space="preserve"> </w:t>
      </w:r>
      <w:r>
        <w:rPr>
          <w:rFonts w:hint="eastAsia"/>
          <w:b/>
          <w:sz w:val="36"/>
          <w:szCs w:val="36"/>
        </w:rPr>
        <w:drawing>
          <wp:inline distT="0" distB="0" distL="0" distR="0">
            <wp:extent cx="2532380" cy="4219575"/>
            <wp:effectExtent l="19050" t="0" r="753"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noChangeArrowheads="1"/>
                    </pic:cNvPicPr>
                  </pic:nvPicPr>
                  <pic:blipFill>
                    <a:blip r:embed="rId9" cstate="print"/>
                    <a:srcRect/>
                    <a:stretch>
                      <a:fillRect/>
                    </a:stretch>
                  </pic:blipFill>
                  <pic:spPr>
                    <a:xfrm>
                      <a:off x="0" y="0"/>
                      <a:ext cx="2535785" cy="4224386"/>
                    </a:xfrm>
                    <a:prstGeom prst="rect">
                      <a:avLst/>
                    </a:prstGeom>
                    <a:noFill/>
                    <a:ln w="9525">
                      <a:noFill/>
                      <a:miter lim="800000"/>
                      <a:headEnd/>
                      <a:tailEnd/>
                    </a:ln>
                  </pic:spPr>
                </pic:pic>
              </a:graphicData>
            </a:graphic>
          </wp:inline>
        </w:drawing>
      </w:r>
    </w:p>
    <w:p>
      <w:pPr>
        <w:jc w:val="center"/>
        <w:rPr>
          <w:b/>
          <w:sz w:val="36"/>
          <w:szCs w:val="36"/>
        </w:rPr>
      </w:pPr>
      <w:r>
        <w:rPr>
          <w:rFonts w:hint="eastAsia"/>
          <w:b/>
          <w:sz w:val="36"/>
          <w:szCs w:val="36"/>
        </w:rPr>
        <w:t>彭家蓬水库人员转移安置图</w:t>
      </w:r>
    </w:p>
    <w:p>
      <w:pPr>
        <w:spacing w:line="560" w:lineRule="exact"/>
        <w:jc w:val="center"/>
        <w:rPr>
          <w:rFonts w:ascii="仿宋" w:hAnsi="仿宋" w:eastAsia="仿宋" w:cs="Times New Roman"/>
          <w:sz w:val="28"/>
          <w:szCs w:val="28"/>
        </w:rPr>
      </w:pPr>
    </w:p>
    <w:p>
      <w:pPr>
        <w:spacing w:line="560" w:lineRule="exact"/>
        <w:jc w:val="center"/>
        <w:rPr>
          <w:rFonts w:ascii="仿宋" w:hAnsi="仿宋" w:eastAsia="仿宋" w:cs="Times New Roman"/>
          <w:sz w:val="28"/>
          <w:szCs w:val="28"/>
        </w:rPr>
        <w:sectPr>
          <w:pgSz w:w="11906" w:h="16838"/>
          <w:pgMar w:top="1440" w:right="1800" w:bottom="1440" w:left="1800" w:header="851" w:footer="992" w:gutter="0"/>
          <w:pgNumType w:start="56"/>
          <w:cols w:space="425" w:num="1"/>
          <w:docGrid w:type="lines" w:linePitch="312" w:charSpace="0"/>
        </w:sectPr>
      </w:pPr>
    </w:p>
    <w:tbl>
      <w:tblPr>
        <w:tblStyle w:val="5"/>
        <w:tblW w:w="15210" w:type="dxa"/>
        <w:jc w:val="center"/>
        <w:tblLayout w:type="fixed"/>
        <w:tblCellMar>
          <w:top w:w="0" w:type="dxa"/>
          <w:left w:w="108" w:type="dxa"/>
          <w:bottom w:w="0" w:type="dxa"/>
          <w:right w:w="108" w:type="dxa"/>
        </w:tblCellMar>
      </w:tblPr>
      <w:tblGrid>
        <w:gridCol w:w="426"/>
        <w:gridCol w:w="1083"/>
        <w:gridCol w:w="60"/>
        <w:gridCol w:w="62"/>
        <w:gridCol w:w="439"/>
        <w:gridCol w:w="520"/>
        <w:gridCol w:w="135"/>
        <w:gridCol w:w="123"/>
        <w:gridCol w:w="871"/>
        <w:gridCol w:w="410"/>
        <w:gridCol w:w="1138"/>
        <w:gridCol w:w="101"/>
        <w:gridCol w:w="1184"/>
        <w:gridCol w:w="48"/>
        <w:gridCol w:w="234"/>
        <w:gridCol w:w="999"/>
        <w:gridCol w:w="1125"/>
        <w:gridCol w:w="434"/>
        <w:gridCol w:w="1004"/>
        <w:gridCol w:w="363"/>
        <w:gridCol w:w="776"/>
        <w:gridCol w:w="336"/>
        <w:gridCol w:w="233"/>
        <w:gridCol w:w="569"/>
        <w:gridCol w:w="310"/>
        <w:gridCol w:w="401"/>
        <w:gridCol w:w="569"/>
        <w:gridCol w:w="142"/>
        <w:gridCol w:w="1115"/>
      </w:tblGrid>
      <w:tr>
        <w:tblPrEx>
          <w:tblCellMar>
            <w:top w:w="0" w:type="dxa"/>
            <w:left w:w="108" w:type="dxa"/>
            <w:bottom w:w="0" w:type="dxa"/>
            <w:right w:w="108" w:type="dxa"/>
          </w:tblCellMar>
        </w:tblPrEx>
        <w:trPr>
          <w:trHeight w:val="465" w:hRule="atLeast"/>
          <w:jc w:val="center"/>
        </w:trPr>
        <w:tc>
          <w:tcPr>
            <w:tcW w:w="15210" w:type="dxa"/>
            <w:gridSpan w:val="29"/>
            <w:tcBorders>
              <w:top w:val="nil"/>
              <w:left w:val="nil"/>
              <w:bottom w:val="nil"/>
              <w:right w:val="nil"/>
            </w:tcBorders>
            <w:shd w:val="clear" w:color="auto" w:fill="auto"/>
            <w:vAlign w:val="center"/>
          </w:tcPr>
          <w:p>
            <w:pPr>
              <w:spacing w:line="500" w:lineRule="exact"/>
              <w:jc w:val="center"/>
              <w:rPr>
                <w:rFonts w:hint="eastAsia" w:ascii="仿宋" w:hAnsi="仿宋" w:eastAsia="仿宋" w:cs="仿宋"/>
                <w:sz w:val="36"/>
                <w:szCs w:val="36"/>
              </w:rPr>
            </w:pPr>
            <w:r>
              <w:rPr>
                <w:rFonts w:hint="eastAsia" w:ascii="仿宋" w:hAnsi="仿宋" w:eastAsia="仿宋" w:cs="仿宋"/>
                <w:sz w:val="36"/>
                <w:szCs w:val="36"/>
                <w:u w:val="single"/>
              </w:rPr>
              <w:t>2024</w:t>
            </w:r>
            <w:r>
              <w:rPr>
                <w:rFonts w:hint="eastAsia" w:ascii="仿宋" w:hAnsi="仿宋" w:eastAsia="仿宋" w:cs="仿宋"/>
                <w:sz w:val="36"/>
                <w:szCs w:val="36"/>
              </w:rPr>
              <w:t>年</w:t>
            </w:r>
            <w:r>
              <w:rPr>
                <w:rFonts w:hint="eastAsia" w:ascii="仿宋" w:hAnsi="仿宋" w:eastAsia="仿宋" w:cs="仿宋"/>
                <w:sz w:val="36"/>
                <w:szCs w:val="36"/>
                <w:u w:val="single"/>
              </w:rPr>
              <w:t>彭家蓬</w:t>
            </w:r>
            <w:r>
              <w:rPr>
                <w:rFonts w:hint="eastAsia" w:ascii="仿宋" w:hAnsi="仿宋" w:eastAsia="仿宋" w:cs="仿宋"/>
                <w:sz w:val="36"/>
                <w:szCs w:val="36"/>
              </w:rPr>
              <w:t>水库防洪抢险应急预案简表</w:t>
            </w:r>
          </w:p>
        </w:tc>
      </w:tr>
      <w:tr>
        <w:tblPrEx>
          <w:tblCellMar>
            <w:top w:w="0" w:type="dxa"/>
            <w:left w:w="108" w:type="dxa"/>
            <w:bottom w:w="0" w:type="dxa"/>
            <w:right w:w="108" w:type="dxa"/>
          </w:tblCellMar>
        </w:tblPrEx>
        <w:trPr>
          <w:trHeight w:val="762" w:hRule="atLeast"/>
          <w:jc w:val="center"/>
        </w:trPr>
        <w:tc>
          <w:tcPr>
            <w:tcW w:w="15210" w:type="dxa"/>
            <w:gridSpan w:val="29"/>
            <w:tcBorders>
              <w:top w:val="nil"/>
              <w:left w:val="nil"/>
              <w:bottom w:val="nil"/>
              <w:right w:val="nil"/>
            </w:tcBorders>
            <w:shd w:val="clear" w:color="auto" w:fill="auto"/>
            <w:vAlign w:val="center"/>
          </w:tcPr>
          <w:p>
            <w:pPr>
              <w:spacing w:line="500" w:lineRule="exact"/>
              <w:rPr>
                <w:rFonts w:hint="eastAsia" w:ascii="仿宋" w:hAnsi="仿宋" w:eastAsia="仿宋" w:cs="仿宋"/>
                <w:b/>
                <w:bCs/>
                <w:sz w:val="24"/>
                <w:szCs w:val="24"/>
              </w:rPr>
            </w:pPr>
            <w:r>
              <w:rPr>
                <w:rFonts w:hint="eastAsia" w:ascii="仿宋" w:hAnsi="仿宋" w:eastAsia="仿宋" w:cs="仿宋"/>
                <w:b/>
                <w:bCs/>
                <w:kern w:val="0"/>
                <w:sz w:val="24"/>
                <w:szCs w:val="24"/>
              </w:rPr>
              <w:t>所在县（市、区）：浮梁县      位置：湘湖镇双凤村          所在流域及水系：饶河昌江支流南河        高程系统：  黄海高程</w:t>
            </w:r>
            <w:r>
              <w:rPr>
                <w:rFonts w:hint="eastAsia" w:ascii="仿宋" w:hAnsi="仿宋" w:eastAsia="仿宋" w:cs="仿宋"/>
                <w:b/>
                <w:bCs/>
                <w:sz w:val="24"/>
                <w:szCs w:val="24"/>
              </w:rPr>
              <w:t xml:space="preserve"> </w:t>
            </w:r>
          </w:p>
        </w:tc>
      </w:tr>
      <w:tr>
        <w:tblPrEx>
          <w:tblCellMar>
            <w:top w:w="0" w:type="dxa"/>
            <w:left w:w="108" w:type="dxa"/>
            <w:bottom w:w="0" w:type="dxa"/>
            <w:right w:w="108" w:type="dxa"/>
          </w:tblCellMar>
        </w:tblPrEx>
        <w:trPr>
          <w:trHeight w:val="665" w:hRule="atLeast"/>
          <w:jc w:val="center"/>
        </w:trPr>
        <w:tc>
          <w:tcPr>
            <w:tcW w:w="426"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工程特性</w:t>
            </w:r>
          </w:p>
        </w:tc>
        <w:tc>
          <w:tcPr>
            <w:tcW w:w="1205"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规模</w:t>
            </w:r>
          </w:p>
        </w:tc>
        <w:tc>
          <w:tcPr>
            <w:tcW w:w="1094"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主坝类型</w:t>
            </w:r>
          </w:p>
        </w:tc>
        <w:tc>
          <w:tcPr>
            <w:tcW w:w="2643" w:type="dxa"/>
            <w:gridSpan w:val="5"/>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管理机构</w:t>
            </w:r>
          </w:p>
        </w:tc>
        <w:tc>
          <w:tcPr>
            <w:tcW w:w="1184" w:type="dxa"/>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集雨面积（km</w:t>
            </w:r>
            <w:r>
              <w:rPr>
                <w:rFonts w:hint="eastAsia" w:ascii="仿宋" w:hAnsi="仿宋" w:eastAsia="仿宋" w:cs="仿宋"/>
                <w:sz w:val="24"/>
                <w:szCs w:val="24"/>
                <w:vertAlign w:val="superscript"/>
              </w:rPr>
              <w:t>2</w:t>
            </w:r>
            <w:r>
              <w:rPr>
                <w:rFonts w:hint="eastAsia" w:ascii="仿宋" w:hAnsi="仿宋" w:eastAsia="仿宋" w:cs="仿宋"/>
                <w:sz w:val="24"/>
                <w:szCs w:val="24"/>
              </w:rPr>
              <w:t>）</w:t>
            </w:r>
          </w:p>
        </w:tc>
        <w:tc>
          <w:tcPr>
            <w:tcW w:w="1281"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总库容（万m</w:t>
            </w:r>
            <w:r>
              <w:rPr>
                <w:rFonts w:hint="eastAsia" w:ascii="仿宋" w:hAnsi="仿宋" w:eastAsia="仿宋" w:cs="仿宋"/>
                <w:sz w:val="24"/>
                <w:szCs w:val="24"/>
                <w:vertAlign w:val="superscript"/>
              </w:rPr>
              <w:t>3</w:t>
            </w:r>
            <w:r>
              <w:rPr>
                <w:rFonts w:hint="eastAsia" w:ascii="仿宋" w:hAnsi="仿宋" w:eastAsia="仿宋" w:cs="仿宋"/>
                <w:sz w:val="24"/>
                <w:szCs w:val="24"/>
              </w:rPr>
              <w:t>）</w:t>
            </w:r>
          </w:p>
        </w:tc>
        <w:tc>
          <w:tcPr>
            <w:tcW w:w="1559" w:type="dxa"/>
            <w:gridSpan w:val="2"/>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汛限水位（主/后）</w:t>
            </w:r>
          </w:p>
        </w:tc>
        <w:tc>
          <w:tcPr>
            <w:tcW w:w="1367" w:type="dxa"/>
            <w:gridSpan w:val="2"/>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正常蓄水位</w:t>
            </w:r>
          </w:p>
        </w:tc>
        <w:tc>
          <w:tcPr>
            <w:tcW w:w="1112" w:type="dxa"/>
            <w:gridSpan w:val="2"/>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设计洪水标准</w:t>
            </w:r>
          </w:p>
        </w:tc>
        <w:tc>
          <w:tcPr>
            <w:tcW w:w="1112"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设计洪水位</w:t>
            </w:r>
          </w:p>
        </w:tc>
        <w:tc>
          <w:tcPr>
            <w:tcW w:w="1112"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校核洪水标准</w:t>
            </w:r>
          </w:p>
        </w:tc>
        <w:tc>
          <w:tcPr>
            <w:tcW w:w="1115" w:type="dxa"/>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校核洪水位</w:t>
            </w:r>
          </w:p>
        </w:tc>
      </w:tr>
      <w:tr>
        <w:tblPrEx>
          <w:tblCellMar>
            <w:top w:w="0" w:type="dxa"/>
            <w:left w:w="108" w:type="dxa"/>
            <w:bottom w:w="0" w:type="dxa"/>
            <w:right w:w="108" w:type="dxa"/>
          </w:tblCellMar>
        </w:tblPrEx>
        <w:trPr>
          <w:trHeight w:val="714" w:hRule="atLeast"/>
          <w:jc w:val="center"/>
        </w:trPr>
        <w:tc>
          <w:tcPr>
            <w:tcW w:w="426" w:type="dxa"/>
            <w:vMerge w:val="continue"/>
            <w:tcBorders>
              <w:top w:val="single" w:color="auto" w:sz="4" w:space="0"/>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205"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小（二）型</w:t>
            </w:r>
          </w:p>
        </w:tc>
        <w:tc>
          <w:tcPr>
            <w:tcW w:w="1094"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斜墙土坝</w:t>
            </w:r>
          </w:p>
        </w:tc>
        <w:tc>
          <w:tcPr>
            <w:tcW w:w="2643" w:type="dxa"/>
            <w:gridSpan w:val="5"/>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湘湖镇人民政府</w:t>
            </w:r>
          </w:p>
        </w:tc>
        <w:tc>
          <w:tcPr>
            <w:tcW w:w="1184" w:type="dxa"/>
            <w:tcBorders>
              <w:top w:val="nil"/>
              <w:left w:val="nil"/>
              <w:bottom w:val="single" w:color="auto" w:sz="4" w:space="0"/>
              <w:right w:val="single" w:color="auto" w:sz="4" w:space="0"/>
            </w:tcBorders>
            <w:shd w:val="clear" w:color="auto" w:fill="auto"/>
            <w:vAlign w:val="center"/>
          </w:tcPr>
          <w:p>
            <w:pPr>
              <w:spacing w:line="320" w:lineRule="exact"/>
              <w:jc w:val="center"/>
              <w:rPr>
                <w:rFonts w:hint="default" w:ascii="仿宋" w:hAnsi="仿宋" w:eastAsia="仿宋" w:cs="仿宋"/>
                <w:sz w:val="24"/>
                <w:szCs w:val="24"/>
                <w:lang w:val="en-US" w:eastAsia="zh-CN"/>
              </w:rPr>
            </w:pPr>
            <w:r>
              <w:rPr>
                <w:rFonts w:hint="eastAsia" w:ascii="仿宋" w:hAnsi="仿宋" w:eastAsia="仿宋" w:cs="仿宋"/>
                <w:sz w:val="24"/>
                <w:szCs w:val="24"/>
                <w:lang w:val="en-US" w:eastAsia="zh-CN"/>
              </w:rPr>
              <w:t>1.5</w:t>
            </w:r>
          </w:p>
        </w:tc>
        <w:tc>
          <w:tcPr>
            <w:tcW w:w="1281"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default" w:ascii="仿宋" w:hAnsi="仿宋" w:eastAsia="仿宋" w:cs="仿宋"/>
                <w:sz w:val="24"/>
                <w:szCs w:val="24"/>
                <w:lang w:val="en-US" w:eastAsia="zh-CN"/>
              </w:rPr>
            </w:pPr>
            <w:r>
              <w:rPr>
                <w:rFonts w:hint="eastAsia" w:ascii="仿宋" w:hAnsi="仿宋" w:eastAsia="仿宋" w:cs="仿宋"/>
                <w:sz w:val="24"/>
                <w:szCs w:val="24"/>
                <w:lang w:val="en-US" w:eastAsia="zh-CN"/>
              </w:rPr>
              <w:t>16</w:t>
            </w:r>
            <w:bookmarkStart w:id="0" w:name="_GoBack"/>
            <w:bookmarkEnd w:id="0"/>
          </w:p>
        </w:tc>
        <w:tc>
          <w:tcPr>
            <w:tcW w:w="155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73.66m</w:t>
            </w:r>
          </w:p>
        </w:tc>
        <w:tc>
          <w:tcPr>
            <w:tcW w:w="1367"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73.66m</w:t>
            </w:r>
          </w:p>
        </w:tc>
        <w:tc>
          <w:tcPr>
            <w:tcW w:w="1112"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5%</w:t>
            </w:r>
          </w:p>
        </w:tc>
        <w:tc>
          <w:tcPr>
            <w:tcW w:w="1112"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p>
        </w:tc>
        <w:tc>
          <w:tcPr>
            <w:tcW w:w="1112"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0.5%</w:t>
            </w:r>
          </w:p>
        </w:tc>
        <w:tc>
          <w:tcPr>
            <w:tcW w:w="1115"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p>
        </w:tc>
      </w:tr>
      <w:tr>
        <w:tblPrEx>
          <w:tblCellMar>
            <w:top w:w="0" w:type="dxa"/>
            <w:left w:w="108" w:type="dxa"/>
            <w:bottom w:w="0" w:type="dxa"/>
            <w:right w:w="108" w:type="dxa"/>
          </w:tblCellMar>
        </w:tblPrEx>
        <w:trPr>
          <w:trHeight w:val="443" w:hRule="atLeast"/>
          <w:jc w:val="center"/>
        </w:trPr>
        <w:tc>
          <w:tcPr>
            <w:tcW w:w="426" w:type="dxa"/>
            <w:vMerge w:val="restart"/>
            <w:tcBorders>
              <w:top w:val="nil"/>
              <w:left w:val="single" w:color="auto" w:sz="4" w:space="0"/>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防汛责任人</w:t>
            </w:r>
          </w:p>
        </w:tc>
        <w:tc>
          <w:tcPr>
            <w:tcW w:w="3703" w:type="dxa"/>
            <w:gridSpan w:val="9"/>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行政责任人</w:t>
            </w:r>
          </w:p>
        </w:tc>
        <w:tc>
          <w:tcPr>
            <w:tcW w:w="3704" w:type="dxa"/>
            <w:gridSpan w:val="6"/>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直接责任人</w:t>
            </w:r>
          </w:p>
        </w:tc>
        <w:tc>
          <w:tcPr>
            <w:tcW w:w="3702" w:type="dxa"/>
            <w:gridSpan w:val="5"/>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技术责任人</w:t>
            </w:r>
          </w:p>
        </w:tc>
        <w:tc>
          <w:tcPr>
            <w:tcW w:w="3675" w:type="dxa"/>
            <w:gridSpan w:val="8"/>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巡查责任人</w:t>
            </w:r>
          </w:p>
        </w:tc>
      </w:tr>
      <w:tr>
        <w:tblPrEx>
          <w:tblCellMar>
            <w:top w:w="0" w:type="dxa"/>
            <w:left w:w="108" w:type="dxa"/>
            <w:bottom w:w="0" w:type="dxa"/>
            <w:right w:w="108" w:type="dxa"/>
          </w:tblCellMar>
        </w:tblPrEx>
        <w:trPr>
          <w:trHeight w:val="616"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143"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姓名</w:t>
            </w:r>
          </w:p>
        </w:tc>
        <w:tc>
          <w:tcPr>
            <w:tcW w:w="1279" w:type="dxa"/>
            <w:gridSpan w:val="5"/>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单位</w:t>
            </w:r>
          </w:p>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及职务</w:t>
            </w:r>
          </w:p>
        </w:tc>
        <w:tc>
          <w:tcPr>
            <w:tcW w:w="1281"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电话</w:t>
            </w:r>
          </w:p>
        </w:tc>
        <w:tc>
          <w:tcPr>
            <w:tcW w:w="1138"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姓名</w:t>
            </w:r>
          </w:p>
        </w:tc>
        <w:tc>
          <w:tcPr>
            <w:tcW w:w="1285"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单位</w:t>
            </w:r>
          </w:p>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及职务</w:t>
            </w:r>
          </w:p>
        </w:tc>
        <w:tc>
          <w:tcPr>
            <w:tcW w:w="1281"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电话</w:t>
            </w:r>
          </w:p>
        </w:tc>
        <w:tc>
          <w:tcPr>
            <w:tcW w:w="155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姓名</w:t>
            </w:r>
          </w:p>
        </w:tc>
        <w:tc>
          <w:tcPr>
            <w:tcW w:w="1004"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单位及职务</w:t>
            </w:r>
          </w:p>
        </w:tc>
        <w:tc>
          <w:tcPr>
            <w:tcW w:w="113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电话</w:t>
            </w:r>
          </w:p>
        </w:tc>
        <w:tc>
          <w:tcPr>
            <w:tcW w:w="1138"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姓名</w:t>
            </w:r>
          </w:p>
        </w:tc>
        <w:tc>
          <w:tcPr>
            <w:tcW w:w="1280"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单位</w:t>
            </w:r>
          </w:p>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及职务</w:t>
            </w:r>
          </w:p>
        </w:tc>
        <w:tc>
          <w:tcPr>
            <w:tcW w:w="1257"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电话</w:t>
            </w:r>
          </w:p>
        </w:tc>
      </w:tr>
      <w:tr>
        <w:tblPrEx>
          <w:tblCellMar>
            <w:top w:w="0" w:type="dxa"/>
            <w:left w:w="108" w:type="dxa"/>
            <w:bottom w:w="0" w:type="dxa"/>
            <w:right w:w="108" w:type="dxa"/>
          </w:tblCellMar>
        </w:tblPrEx>
        <w:trPr>
          <w:trHeight w:val="713"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143" w:type="dxa"/>
            <w:gridSpan w:val="2"/>
            <w:tcBorders>
              <w:top w:val="nil"/>
              <w:left w:val="nil"/>
              <w:bottom w:val="single" w:color="auto" w:sz="4" w:space="0"/>
              <w:right w:val="single" w:color="auto" w:sz="4" w:space="0"/>
            </w:tcBorders>
            <w:shd w:val="clear" w:color="auto" w:fill="auto"/>
            <w:vAlign w:val="center"/>
          </w:tcPr>
          <w:p>
            <w:pPr>
              <w:widowControl/>
              <w:spacing w:line="320" w:lineRule="exact"/>
              <w:jc w:val="center"/>
              <w:rPr>
                <w:rFonts w:hint="eastAsia" w:ascii="仿宋" w:hAnsi="仿宋" w:eastAsia="仿宋" w:cs="仿宋"/>
                <w:sz w:val="24"/>
                <w:szCs w:val="24"/>
              </w:rPr>
            </w:pPr>
            <w:r>
              <w:rPr>
                <w:rFonts w:hint="eastAsia" w:ascii="仿宋" w:hAnsi="仿宋" w:eastAsia="仿宋" w:cs="仿宋"/>
                <w:bCs/>
                <w:sz w:val="24"/>
                <w:szCs w:val="24"/>
              </w:rPr>
              <w:t>周奇峰</w:t>
            </w:r>
          </w:p>
        </w:tc>
        <w:tc>
          <w:tcPr>
            <w:tcW w:w="1279" w:type="dxa"/>
            <w:gridSpan w:val="5"/>
            <w:tcBorders>
              <w:top w:val="nil"/>
              <w:left w:val="nil"/>
              <w:bottom w:val="single" w:color="auto" w:sz="4" w:space="0"/>
              <w:right w:val="single" w:color="auto" w:sz="4" w:space="0"/>
            </w:tcBorders>
            <w:shd w:val="clear" w:color="auto" w:fill="auto"/>
            <w:vAlign w:val="center"/>
          </w:tcPr>
          <w:p>
            <w:pPr>
              <w:widowControl/>
              <w:spacing w:line="320" w:lineRule="exact"/>
              <w:jc w:val="center"/>
              <w:rPr>
                <w:rFonts w:hint="eastAsia" w:ascii="仿宋" w:hAnsi="仿宋" w:eastAsia="仿宋" w:cs="仿宋"/>
                <w:sz w:val="24"/>
                <w:szCs w:val="24"/>
              </w:rPr>
            </w:pPr>
            <w:r>
              <w:rPr>
                <w:rFonts w:hint="eastAsia" w:ascii="仿宋" w:hAnsi="仿宋" w:eastAsia="仿宋" w:cs="仿宋"/>
                <w:bCs/>
                <w:sz w:val="24"/>
                <w:szCs w:val="24"/>
              </w:rPr>
              <w:t>湘湖镇人民政府镇长</w:t>
            </w:r>
          </w:p>
        </w:tc>
        <w:tc>
          <w:tcPr>
            <w:tcW w:w="1281" w:type="dxa"/>
            <w:gridSpan w:val="2"/>
            <w:tcBorders>
              <w:top w:val="nil"/>
              <w:left w:val="nil"/>
              <w:bottom w:val="single" w:color="auto" w:sz="4" w:space="0"/>
              <w:right w:val="single" w:color="auto" w:sz="4" w:space="0"/>
            </w:tcBorders>
            <w:shd w:val="clear" w:color="auto" w:fill="auto"/>
            <w:vAlign w:val="center"/>
          </w:tcPr>
          <w:p>
            <w:pPr>
              <w:widowControl/>
              <w:spacing w:line="320" w:lineRule="exact"/>
              <w:jc w:val="center"/>
              <w:rPr>
                <w:rFonts w:hint="eastAsia" w:ascii="仿宋" w:hAnsi="仿宋" w:eastAsia="仿宋" w:cs="仿宋"/>
                <w:sz w:val="24"/>
                <w:szCs w:val="24"/>
              </w:rPr>
            </w:pPr>
            <w:r>
              <w:rPr>
                <w:rFonts w:hint="eastAsia" w:ascii="仿宋" w:hAnsi="仿宋" w:eastAsia="仿宋" w:cs="仿宋"/>
                <w:bCs/>
                <w:sz w:val="24"/>
                <w:szCs w:val="24"/>
              </w:rPr>
              <w:t>13807986618</w:t>
            </w:r>
          </w:p>
        </w:tc>
        <w:tc>
          <w:tcPr>
            <w:tcW w:w="1138" w:type="dxa"/>
            <w:tcBorders>
              <w:top w:val="nil"/>
              <w:left w:val="nil"/>
              <w:bottom w:val="single" w:color="auto" w:sz="4" w:space="0"/>
              <w:right w:val="single" w:color="auto" w:sz="4" w:space="0"/>
            </w:tcBorders>
            <w:shd w:val="clear" w:color="auto" w:fill="auto"/>
          </w:tcPr>
          <w:p>
            <w:pPr>
              <w:jc w:val="right"/>
              <w:rPr>
                <w:rFonts w:hint="eastAsia" w:ascii="仿宋" w:hAnsi="仿宋" w:eastAsia="仿宋" w:cs="仿宋"/>
                <w:bCs/>
                <w:sz w:val="24"/>
                <w:szCs w:val="24"/>
              </w:rPr>
            </w:pPr>
          </w:p>
          <w:p>
            <w:pPr>
              <w:jc w:val="right"/>
              <w:rPr>
                <w:rFonts w:hint="eastAsia" w:ascii="仿宋" w:hAnsi="仿宋" w:eastAsia="仿宋" w:cs="仿宋"/>
                <w:bCs/>
                <w:sz w:val="24"/>
                <w:szCs w:val="24"/>
              </w:rPr>
            </w:pPr>
            <w:r>
              <w:rPr>
                <w:rFonts w:hint="eastAsia" w:ascii="仿宋" w:hAnsi="仿宋" w:eastAsia="仿宋" w:cs="仿宋"/>
                <w:bCs/>
                <w:sz w:val="24"/>
                <w:szCs w:val="24"/>
              </w:rPr>
              <w:t>翟育勇</w:t>
            </w:r>
          </w:p>
        </w:tc>
        <w:tc>
          <w:tcPr>
            <w:tcW w:w="1285" w:type="dxa"/>
            <w:gridSpan w:val="2"/>
            <w:tcBorders>
              <w:top w:val="nil"/>
              <w:left w:val="nil"/>
              <w:bottom w:val="single" w:color="auto" w:sz="4" w:space="0"/>
              <w:right w:val="single" w:color="auto" w:sz="4" w:space="0"/>
            </w:tcBorders>
            <w:shd w:val="clear" w:color="auto" w:fill="auto"/>
          </w:tcPr>
          <w:p>
            <w:pPr>
              <w:jc w:val="right"/>
              <w:rPr>
                <w:rFonts w:hint="eastAsia" w:ascii="仿宋" w:hAnsi="仿宋" w:eastAsia="仿宋" w:cs="仿宋"/>
                <w:bCs/>
                <w:sz w:val="24"/>
                <w:szCs w:val="24"/>
              </w:rPr>
            </w:pPr>
          </w:p>
          <w:p>
            <w:pPr>
              <w:jc w:val="right"/>
              <w:rPr>
                <w:rFonts w:hint="eastAsia" w:ascii="仿宋" w:hAnsi="仿宋" w:eastAsia="仿宋" w:cs="仿宋"/>
                <w:bCs/>
                <w:sz w:val="24"/>
                <w:szCs w:val="24"/>
              </w:rPr>
            </w:pPr>
            <w:r>
              <w:rPr>
                <w:rFonts w:hint="eastAsia" w:ascii="仿宋" w:hAnsi="仿宋" w:eastAsia="仿宋" w:cs="仿宋"/>
                <w:bCs/>
                <w:sz w:val="24"/>
                <w:szCs w:val="24"/>
              </w:rPr>
              <w:t>副镇长</w:t>
            </w:r>
          </w:p>
        </w:tc>
        <w:tc>
          <w:tcPr>
            <w:tcW w:w="1281" w:type="dxa"/>
            <w:gridSpan w:val="3"/>
            <w:tcBorders>
              <w:top w:val="nil"/>
              <w:left w:val="nil"/>
              <w:bottom w:val="single" w:color="auto" w:sz="4" w:space="0"/>
              <w:right w:val="single" w:color="auto" w:sz="4" w:space="0"/>
            </w:tcBorders>
            <w:shd w:val="clear" w:color="auto" w:fill="auto"/>
            <w:vAlign w:val="center"/>
          </w:tcPr>
          <w:p>
            <w:pPr>
              <w:widowControl/>
              <w:spacing w:line="320" w:lineRule="exact"/>
              <w:ind w:right="480"/>
              <w:jc w:val="right"/>
              <w:rPr>
                <w:rFonts w:hint="eastAsia" w:ascii="仿宋" w:hAnsi="仿宋" w:eastAsia="仿宋" w:cs="仿宋"/>
                <w:bCs/>
                <w:sz w:val="24"/>
                <w:szCs w:val="24"/>
              </w:rPr>
            </w:pPr>
          </w:p>
          <w:p>
            <w:pPr>
              <w:widowControl/>
              <w:spacing w:line="320" w:lineRule="exact"/>
              <w:ind w:right="480"/>
              <w:jc w:val="right"/>
              <w:rPr>
                <w:rFonts w:hint="eastAsia" w:ascii="仿宋" w:hAnsi="仿宋" w:eastAsia="仿宋" w:cs="仿宋"/>
                <w:sz w:val="24"/>
                <w:szCs w:val="24"/>
              </w:rPr>
            </w:pPr>
            <w:r>
              <w:rPr>
                <w:rFonts w:hint="eastAsia" w:ascii="仿宋" w:hAnsi="仿宋" w:eastAsia="仿宋" w:cs="仿宋"/>
                <w:bCs/>
                <w:sz w:val="24"/>
                <w:szCs w:val="24"/>
              </w:rPr>
              <w:t>13507985038</w:t>
            </w:r>
          </w:p>
        </w:tc>
        <w:tc>
          <w:tcPr>
            <w:tcW w:w="1559" w:type="dxa"/>
            <w:gridSpan w:val="2"/>
            <w:tcBorders>
              <w:top w:val="nil"/>
              <w:left w:val="nil"/>
              <w:bottom w:val="single" w:color="auto" w:sz="4" w:space="0"/>
              <w:right w:val="single" w:color="auto" w:sz="4" w:space="0"/>
            </w:tcBorders>
            <w:shd w:val="clear" w:color="auto" w:fill="auto"/>
          </w:tcPr>
          <w:p>
            <w:pPr>
              <w:jc w:val="center"/>
              <w:rPr>
                <w:rFonts w:hint="eastAsia" w:ascii="仿宋" w:hAnsi="仿宋" w:eastAsia="仿宋" w:cs="仿宋"/>
                <w:bCs/>
                <w:sz w:val="24"/>
                <w:szCs w:val="24"/>
              </w:rPr>
            </w:pPr>
            <w:r>
              <w:rPr>
                <w:rFonts w:hint="eastAsia" w:ascii="仿宋" w:hAnsi="仿宋" w:eastAsia="仿宋" w:cs="仿宋"/>
                <w:bCs/>
                <w:sz w:val="24"/>
                <w:szCs w:val="24"/>
              </w:rPr>
              <w:t>彭长寿</w:t>
            </w:r>
          </w:p>
        </w:tc>
        <w:tc>
          <w:tcPr>
            <w:tcW w:w="1004" w:type="dxa"/>
            <w:tcBorders>
              <w:top w:val="nil"/>
              <w:left w:val="nil"/>
              <w:bottom w:val="single" w:color="auto" w:sz="4" w:space="0"/>
              <w:right w:val="single" w:color="auto" w:sz="4" w:space="0"/>
            </w:tcBorders>
            <w:shd w:val="clear" w:color="auto" w:fill="auto"/>
          </w:tcPr>
          <w:p>
            <w:pPr>
              <w:jc w:val="center"/>
              <w:rPr>
                <w:rFonts w:hint="eastAsia" w:ascii="仿宋" w:hAnsi="仿宋" w:eastAsia="仿宋" w:cs="仿宋"/>
                <w:sz w:val="24"/>
                <w:szCs w:val="24"/>
              </w:rPr>
            </w:pPr>
            <w:r>
              <w:rPr>
                <w:rFonts w:hint="eastAsia" w:ascii="仿宋" w:hAnsi="仿宋" w:eastAsia="仿宋" w:cs="仿宋"/>
                <w:bCs/>
                <w:sz w:val="24"/>
                <w:szCs w:val="24"/>
              </w:rPr>
              <w:t>水利负责人</w:t>
            </w:r>
          </w:p>
        </w:tc>
        <w:tc>
          <w:tcPr>
            <w:tcW w:w="1139" w:type="dxa"/>
            <w:gridSpan w:val="2"/>
            <w:tcBorders>
              <w:top w:val="nil"/>
              <w:left w:val="nil"/>
              <w:bottom w:val="single" w:color="auto" w:sz="4" w:space="0"/>
              <w:right w:val="single" w:color="auto" w:sz="4" w:space="0"/>
            </w:tcBorders>
            <w:shd w:val="clear" w:color="auto" w:fill="auto"/>
            <w:vAlign w:val="center"/>
          </w:tcPr>
          <w:p>
            <w:pPr>
              <w:widowControl/>
              <w:spacing w:line="320" w:lineRule="exact"/>
              <w:jc w:val="center"/>
              <w:rPr>
                <w:rFonts w:hint="eastAsia" w:ascii="仿宋" w:hAnsi="仿宋" w:eastAsia="仿宋" w:cs="仿宋"/>
                <w:sz w:val="24"/>
                <w:szCs w:val="24"/>
              </w:rPr>
            </w:pPr>
            <w:r>
              <w:rPr>
                <w:rFonts w:hint="eastAsia" w:ascii="仿宋" w:hAnsi="仿宋" w:eastAsia="仿宋" w:cs="仿宋"/>
                <w:bCs/>
                <w:sz w:val="24"/>
                <w:szCs w:val="24"/>
              </w:rPr>
              <w:t>13707987619</w:t>
            </w:r>
          </w:p>
        </w:tc>
        <w:tc>
          <w:tcPr>
            <w:tcW w:w="1138" w:type="dxa"/>
            <w:gridSpan w:val="3"/>
            <w:tcBorders>
              <w:top w:val="nil"/>
              <w:left w:val="nil"/>
              <w:bottom w:val="single" w:color="auto" w:sz="4" w:space="0"/>
              <w:right w:val="single" w:color="auto" w:sz="4" w:space="0"/>
            </w:tcBorders>
            <w:shd w:val="clear" w:color="auto" w:fill="auto"/>
            <w:vAlign w:val="center"/>
          </w:tcPr>
          <w:p>
            <w:pPr>
              <w:widowControl/>
              <w:spacing w:line="400" w:lineRule="exact"/>
              <w:jc w:val="center"/>
              <w:rPr>
                <w:rFonts w:hint="eastAsia" w:ascii="仿宋" w:hAnsi="仿宋" w:eastAsia="仿宋" w:cs="仿宋"/>
                <w:sz w:val="24"/>
                <w:szCs w:val="24"/>
              </w:rPr>
            </w:pPr>
            <w:r>
              <w:rPr>
                <w:rFonts w:hint="eastAsia" w:ascii="仿宋" w:hAnsi="仿宋" w:eastAsia="仿宋" w:cs="仿宋"/>
                <w:color w:val="000000"/>
                <w:kern w:val="0"/>
                <w:sz w:val="24"/>
                <w:szCs w:val="24"/>
              </w:rPr>
              <w:t>胡长军</w:t>
            </w:r>
          </w:p>
        </w:tc>
        <w:tc>
          <w:tcPr>
            <w:tcW w:w="1280" w:type="dxa"/>
            <w:gridSpan w:val="3"/>
            <w:tcBorders>
              <w:top w:val="nil"/>
              <w:left w:val="nil"/>
              <w:bottom w:val="single" w:color="auto" w:sz="4" w:space="0"/>
              <w:right w:val="single" w:color="auto" w:sz="4" w:space="0"/>
            </w:tcBorders>
            <w:shd w:val="clear" w:color="auto" w:fill="auto"/>
            <w:vAlign w:val="center"/>
          </w:tcPr>
          <w:p>
            <w:pPr>
              <w:widowControl/>
              <w:spacing w:line="400" w:lineRule="exact"/>
              <w:jc w:val="center"/>
              <w:rPr>
                <w:rFonts w:hint="eastAsia" w:ascii="仿宋" w:hAnsi="仿宋" w:eastAsia="仿宋" w:cs="仿宋"/>
                <w:sz w:val="24"/>
                <w:szCs w:val="24"/>
              </w:rPr>
            </w:pPr>
            <w:r>
              <w:rPr>
                <w:rFonts w:hint="eastAsia" w:ascii="仿宋" w:hAnsi="仿宋" w:eastAsia="仿宋" w:cs="仿宋"/>
                <w:sz w:val="24"/>
                <w:szCs w:val="24"/>
              </w:rPr>
              <w:t>水库安全管理员</w:t>
            </w:r>
          </w:p>
        </w:tc>
        <w:tc>
          <w:tcPr>
            <w:tcW w:w="1257" w:type="dxa"/>
            <w:gridSpan w:val="2"/>
            <w:tcBorders>
              <w:top w:val="nil"/>
              <w:left w:val="nil"/>
              <w:bottom w:val="single" w:color="auto" w:sz="4" w:space="0"/>
              <w:right w:val="single" w:color="auto" w:sz="4" w:space="0"/>
            </w:tcBorders>
            <w:shd w:val="clear" w:color="auto" w:fill="auto"/>
            <w:vAlign w:val="center"/>
          </w:tcPr>
          <w:p>
            <w:pPr>
              <w:widowControl/>
              <w:spacing w:line="400" w:lineRule="exact"/>
              <w:jc w:val="center"/>
              <w:rPr>
                <w:rFonts w:hint="eastAsia" w:ascii="仿宋" w:hAnsi="仿宋" w:eastAsia="仿宋" w:cs="仿宋"/>
                <w:sz w:val="24"/>
                <w:szCs w:val="24"/>
              </w:rPr>
            </w:pPr>
            <w:r>
              <w:rPr>
                <w:rFonts w:hint="eastAsia" w:ascii="仿宋" w:hAnsi="仿宋" w:eastAsia="仿宋" w:cs="仿宋"/>
                <w:sz w:val="24"/>
                <w:szCs w:val="24"/>
              </w:rPr>
              <w:t>13807988876</w:t>
            </w:r>
          </w:p>
        </w:tc>
      </w:tr>
      <w:tr>
        <w:tblPrEx>
          <w:tblCellMar>
            <w:top w:w="0" w:type="dxa"/>
            <w:left w:w="108" w:type="dxa"/>
            <w:bottom w:w="0" w:type="dxa"/>
            <w:right w:w="108" w:type="dxa"/>
          </w:tblCellMar>
        </w:tblPrEx>
        <w:trPr>
          <w:trHeight w:val="470" w:hRule="atLeast"/>
          <w:jc w:val="center"/>
        </w:trPr>
        <w:tc>
          <w:tcPr>
            <w:tcW w:w="426" w:type="dxa"/>
            <w:vMerge w:val="restart"/>
            <w:tcBorders>
              <w:top w:val="nil"/>
              <w:left w:val="single" w:color="auto" w:sz="4" w:space="0"/>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人员转移与安置</w:t>
            </w:r>
          </w:p>
        </w:tc>
        <w:tc>
          <w:tcPr>
            <w:tcW w:w="14784" w:type="dxa"/>
            <w:gridSpan w:val="28"/>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转移安置主要负责人</w:t>
            </w:r>
          </w:p>
        </w:tc>
      </w:tr>
      <w:tr>
        <w:tblPrEx>
          <w:tblCellMar>
            <w:top w:w="0" w:type="dxa"/>
            <w:left w:w="108" w:type="dxa"/>
            <w:bottom w:w="0" w:type="dxa"/>
            <w:right w:w="108" w:type="dxa"/>
          </w:tblCellMar>
        </w:tblPrEx>
        <w:trPr>
          <w:trHeight w:val="551"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4942" w:type="dxa"/>
            <w:gridSpan w:val="11"/>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县（市）</w:t>
            </w:r>
          </w:p>
        </w:tc>
        <w:tc>
          <w:tcPr>
            <w:tcW w:w="5391" w:type="dxa"/>
            <w:gridSpan w:val="8"/>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乡（镇）</w:t>
            </w:r>
          </w:p>
        </w:tc>
        <w:tc>
          <w:tcPr>
            <w:tcW w:w="4451" w:type="dxa"/>
            <w:gridSpan w:val="9"/>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村委会</w:t>
            </w:r>
          </w:p>
        </w:tc>
      </w:tr>
      <w:tr>
        <w:tblPrEx>
          <w:tblCellMar>
            <w:top w:w="0" w:type="dxa"/>
            <w:left w:w="108" w:type="dxa"/>
            <w:bottom w:w="0" w:type="dxa"/>
            <w:right w:w="108" w:type="dxa"/>
          </w:tblCellMar>
        </w:tblPrEx>
        <w:trPr>
          <w:trHeight w:val="340"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644"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姓名</w:t>
            </w:r>
          </w:p>
        </w:tc>
        <w:tc>
          <w:tcPr>
            <w:tcW w:w="1649"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职务</w:t>
            </w:r>
          </w:p>
        </w:tc>
        <w:tc>
          <w:tcPr>
            <w:tcW w:w="1649"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电话</w:t>
            </w:r>
          </w:p>
        </w:tc>
        <w:tc>
          <w:tcPr>
            <w:tcW w:w="1466"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姓名</w:t>
            </w:r>
          </w:p>
        </w:tc>
        <w:tc>
          <w:tcPr>
            <w:tcW w:w="2124"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职务</w:t>
            </w:r>
          </w:p>
        </w:tc>
        <w:tc>
          <w:tcPr>
            <w:tcW w:w="1801"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电话</w:t>
            </w:r>
          </w:p>
        </w:tc>
        <w:tc>
          <w:tcPr>
            <w:tcW w:w="1345"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姓名</w:t>
            </w:r>
          </w:p>
        </w:tc>
        <w:tc>
          <w:tcPr>
            <w:tcW w:w="1280" w:type="dxa"/>
            <w:gridSpan w:val="3"/>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职务</w:t>
            </w: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电话</w:t>
            </w:r>
          </w:p>
        </w:tc>
      </w:tr>
      <w:tr>
        <w:tblPrEx>
          <w:tblCellMar>
            <w:top w:w="0" w:type="dxa"/>
            <w:left w:w="108" w:type="dxa"/>
            <w:bottom w:w="0" w:type="dxa"/>
            <w:right w:w="108" w:type="dxa"/>
          </w:tblCellMar>
        </w:tblPrEx>
        <w:trPr>
          <w:trHeight w:val="463"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644" w:type="dxa"/>
            <w:gridSpan w:val="4"/>
            <w:tcBorders>
              <w:top w:val="nil"/>
              <w:left w:val="nil"/>
              <w:bottom w:val="single" w:color="auto" w:sz="4" w:space="0"/>
              <w:right w:val="single" w:color="auto" w:sz="4" w:space="0"/>
            </w:tcBorders>
            <w:shd w:val="clear" w:color="auto" w:fill="auto"/>
            <w:noWrap/>
            <w:vAlign w:val="center"/>
          </w:tcPr>
          <w:p>
            <w:pPr>
              <w:widowControl/>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王天才</w:t>
            </w:r>
          </w:p>
        </w:tc>
        <w:tc>
          <w:tcPr>
            <w:tcW w:w="1649" w:type="dxa"/>
            <w:gridSpan w:val="4"/>
            <w:tcBorders>
              <w:top w:val="nil"/>
              <w:left w:val="nil"/>
              <w:bottom w:val="single" w:color="auto" w:sz="4" w:space="0"/>
              <w:right w:val="single" w:color="auto" w:sz="4" w:space="0"/>
            </w:tcBorders>
            <w:shd w:val="clear" w:color="auto" w:fill="auto"/>
            <w:noWrap/>
            <w:vAlign w:val="center"/>
          </w:tcPr>
          <w:p>
            <w:pPr>
              <w:widowControl/>
              <w:jc w:val="center"/>
              <w:rPr>
                <w:rFonts w:hint="eastAsia" w:ascii="仿宋" w:hAnsi="仿宋" w:eastAsia="仿宋" w:cs="仿宋"/>
                <w:color w:val="000000"/>
                <w:kern w:val="0"/>
                <w:sz w:val="24"/>
                <w:szCs w:val="24"/>
              </w:rPr>
            </w:pPr>
            <w:r>
              <w:rPr>
                <w:rFonts w:hint="eastAsia" w:ascii="仿宋" w:hAnsi="仿宋" w:eastAsia="仿宋" w:cs="仿宋"/>
                <w:color w:val="000000"/>
                <w:kern w:val="0"/>
                <w:sz w:val="24"/>
                <w:szCs w:val="24"/>
              </w:rPr>
              <w:t>县委常委组织部长</w:t>
            </w:r>
          </w:p>
        </w:tc>
        <w:tc>
          <w:tcPr>
            <w:tcW w:w="1649" w:type="dxa"/>
            <w:gridSpan w:val="3"/>
            <w:tcBorders>
              <w:top w:val="nil"/>
              <w:left w:val="nil"/>
              <w:bottom w:val="single" w:color="auto" w:sz="4" w:space="0"/>
              <w:right w:val="single" w:color="auto" w:sz="4" w:space="0"/>
            </w:tcBorders>
            <w:shd w:val="clear" w:color="auto" w:fill="auto"/>
            <w:noWrap/>
            <w:vAlign w:val="center"/>
          </w:tcPr>
          <w:p>
            <w:pPr>
              <w:widowControl/>
              <w:jc w:val="center"/>
              <w:rPr>
                <w:rFonts w:hint="eastAsia" w:ascii="仿宋" w:hAnsi="仿宋" w:eastAsia="仿宋" w:cs="仿宋"/>
                <w:color w:val="000000"/>
                <w:kern w:val="0"/>
                <w:sz w:val="24"/>
                <w:szCs w:val="24"/>
              </w:rPr>
            </w:pPr>
            <w:r>
              <w:rPr>
                <w:rFonts w:hint="eastAsia" w:ascii="仿宋" w:hAnsi="仿宋" w:eastAsia="仿宋" w:cs="仿宋"/>
                <w:sz w:val="24"/>
                <w:szCs w:val="24"/>
              </w:rPr>
              <w:t>13907985991</w:t>
            </w:r>
          </w:p>
        </w:tc>
        <w:tc>
          <w:tcPr>
            <w:tcW w:w="1466"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jc w:val="center"/>
              <w:rPr>
                <w:rFonts w:hint="eastAsia" w:ascii="仿宋" w:hAnsi="仿宋" w:eastAsia="仿宋" w:cs="仿宋"/>
                <w:sz w:val="24"/>
                <w:szCs w:val="24"/>
              </w:rPr>
            </w:pPr>
            <w:r>
              <w:rPr>
                <w:rFonts w:hint="eastAsia" w:ascii="仿宋" w:hAnsi="仿宋" w:eastAsia="仿宋" w:cs="仿宋"/>
                <w:sz w:val="24"/>
                <w:szCs w:val="24"/>
              </w:rPr>
              <w:t>宁志强</w:t>
            </w:r>
          </w:p>
        </w:tc>
        <w:tc>
          <w:tcPr>
            <w:tcW w:w="2124" w:type="dxa"/>
            <w:gridSpan w:val="2"/>
            <w:tcBorders>
              <w:top w:val="nil"/>
              <w:left w:val="nil"/>
              <w:bottom w:val="single" w:color="auto" w:sz="4" w:space="0"/>
              <w:right w:val="single" w:color="auto" w:sz="4" w:space="0"/>
            </w:tcBorders>
            <w:shd w:val="clear" w:color="auto" w:fill="auto"/>
            <w:noWrap/>
            <w:vAlign w:val="center"/>
          </w:tcPr>
          <w:p>
            <w:pPr>
              <w:widowControl/>
              <w:spacing w:line="320" w:lineRule="exact"/>
              <w:jc w:val="center"/>
              <w:rPr>
                <w:rFonts w:hint="eastAsia" w:ascii="仿宋" w:hAnsi="仿宋" w:eastAsia="仿宋" w:cs="仿宋"/>
                <w:sz w:val="24"/>
                <w:szCs w:val="24"/>
              </w:rPr>
            </w:pPr>
            <w:r>
              <w:rPr>
                <w:rFonts w:hint="eastAsia" w:ascii="仿宋" w:hAnsi="仿宋" w:eastAsia="仿宋" w:cs="仿宋"/>
                <w:sz w:val="24"/>
                <w:szCs w:val="24"/>
              </w:rPr>
              <w:t>常务副镇长</w:t>
            </w:r>
          </w:p>
        </w:tc>
        <w:tc>
          <w:tcPr>
            <w:tcW w:w="1801"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jc w:val="center"/>
              <w:rPr>
                <w:rFonts w:hint="eastAsia" w:ascii="仿宋" w:hAnsi="仿宋" w:eastAsia="仿宋" w:cs="仿宋"/>
                <w:sz w:val="24"/>
                <w:szCs w:val="24"/>
              </w:rPr>
            </w:pPr>
            <w:r>
              <w:rPr>
                <w:rFonts w:hint="eastAsia" w:ascii="仿宋" w:hAnsi="仿宋" w:eastAsia="仿宋" w:cs="仿宋"/>
                <w:sz w:val="24"/>
                <w:szCs w:val="24"/>
              </w:rPr>
              <w:t>13507985203</w:t>
            </w:r>
          </w:p>
        </w:tc>
        <w:tc>
          <w:tcPr>
            <w:tcW w:w="1345"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jc w:val="center"/>
              <w:rPr>
                <w:rFonts w:hint="eastAsia" w:ascii="仿宋" w:hAnsi="仿宋" w:eastAsia="仿宋" w:cs="仿宋"/>
                <w:kern w:val="0"/>
                <w:sz w:val="24"/>
                <w:szCs w:val="24"/>
              </w:rPr>
            </w:pPr>
            <w:r>
              <w:rPr>
                <w:rFonts w:hint="eastAsia" w:ascii="仿宋" w:hAnsi="仿宋" w:eastAsia="仿宋" w:cs="仿宋"/>
                <w:kern w:val="0"/>
                <w:sz w:val="24"/>
                <w:szCs w:val="24"/>
              </w:rPr>
              <w:t>丰景勤</w:t>
            </w:r>
          </w:p>
        </w:tc>
        <w:tc>
          <w:tcPr>
            <w:tcW w:w="1280"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jc w:val="center"/>
              <w:rPr>
                <w:rFonts w:hint="eastAsia" w:ascii="仿宋" w:hAnsi="仿宋" w:eastAsia="仿宋" w:cs="仿宋"/>
                <w:kern w:val="0"/>
                <w:sz w:val="24"/>
                <w:szCs w:val="24"/>
              </w:rPr>
            </w:pPr>
            <w:r>
              <w:rPr>
                <w:rFonts w:hint="eastAsia" w:ascii="仿宋" w:hAnsi="仿宋" w:eastAsia="仿宋" w:cs="仿宋"/>
                <w:kern w:val="0"/>
                <w:sz w:val="24"/>
                <w:szCs w:val="24"/>
              </w:rPr>
              <w:t>村支书</w:t>
            </w:r>
          </w:p>
        </w:tc>
        <w:tc>
          <w:tcPr>
            <w:tcW w:w="1826" w:type="dxa"/>
            <w:gridSpan w:val="3"/>
            <w:tcBorders>
              <w:top w:val="nil"/>
              <w:left w:val="nil"/>
              <w:bottom w:val="single" w:color="auto" w:sz="4" w:space="0"/>
              <w:right w:val="single" w:color="auto" w:sz="4" w:space="0"/>
            </w:tcBorders>
            <w:shd w:val="clear" w:color="auto" w:fill="auto"/>
            <w:noWrap/>
            <w:vAlign w:val="center"/>
          </w:tcPr>
          <w:p>
            <w:pPr>
              <w:widowControl/>
              <w:spacing w:line="320" w:lineRule="exact"/>
              <w:rPr>
                <w:rFonts w:hint="eastAsia" w:ascii="仿宋" w:hAnsi="仿宋" w:eastAsia="仿宋" w:cs="仿宋"/>
                <w:kern w:val="0"/>
                <w:sz w:val="24"/>
                <w:szCs w:val="24"/>
              </w:rPr>
            </w:pPr>
            <w:r>
              <w:rPr>
                <w:rFonts w:hint="eastAsia" w:ascii="仿宋" w:hAnsi="仿宋" w:eastAsia="仿宋" w:cs="仿宋"/>
                <w:sz w:val="24"/>
                <w:szCs w:val="24"/>
              </w:rPr>
              <w:t>15347988166</w:t>
            </w:r>
          </w:p>
        </w:tc>
      </w:tr>
      <w:tr>
        <w:tblPrEx>
          <w:tblCellMar>
            <w:top w:w="0" w:type="dxa"/>
            <w:left w:w="108" w:type="dxa"/>
            <w:bottom w:w="0" w:type="dxa"/>
            <w:right w:w="108" w:type="dxa"/>
          </w:tblCellMar>
        </w:tblPrEx>
        <w:trPr>
          <w:trHeight w:val="616"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083"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乡（镇）</w:t>
            </w:r>
          </w:p>
        </w:tc>
        <w:tc>
          <w:tcPr>
            <w:tcW w:w="1081"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村委会</w:t>
            </w:r>
          </w:p>
        </w:tc>
        <w:tc>
          <w:tcPr>
            <w:tcW w:w="1539"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自然村</w:t>
            </w:r>
          </w:p>
        </w:tc>
        <w:tc>
          <w:tcPr>
            <w:tcW w:w="123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居住高程(m)</w:t>
            </w:r>
          </w:p>
        </w:tc>
        <w:tc>
          <w:tcPr>
            <w:tcW w:w="1232"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转移户数(户)</w:t>
            </w:r>
          </w:p>
        </w:tc>
        <w:tc>
          <w:tcPr>
            <w:tcW w:w="1233"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转移人口(人)</w:t>
            </w:r>
          </w:p>
        </w:tc>
        <w:tc>
          <w:tcPr>
            <w:tcW w:w="155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转移安置地</w:t>
            </w:r>
          </w:p>
        </w:tc>
        <w:tc>
          <w:tcPr>
            <w:tcW w:w="1367"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转移距离(km)</w:t>
            </w:r>
          </w:p>
        </w:tc>
        <w:tc>
          <w:tcPr>
            <w:tcW w:w="2625" w:type="dxa"/>
            <w:gridSpan w:val="6"/>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转移路线</w:t>
            </w: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转移交通工具</w:t>
            </w:r>
          </w:p>
        </w:tc>
      </w:tr>
      <w:tr>
        <w:tblPrEx>
          <w:tblCellMar>
            <w:top w:w="0" w:type="dxa"/>
            <w:left w:w="108" w:type="dxa"/>
            <w:bottom w:w="0" w:type="dxa"/>
            <w:right w:w="108" w:type="dxa"/>
          </w:tblCellMar>
        </w:tblPrEx>
        <w:trPr>
          <w:trHeight w:val="324" w:hRule="atLeast"/>
          <w:jc w:val="center"/>
        </w:trPr>
        <w:tc>
          <w:tcPr>
            <w:tcW w:w="426" w:type="dxa"/>
            <w:vMerge w:val="continue"/>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083" w:type="dxa"/>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湘湖镇　</w:t>
            </w:r>
          </w:p>
        </w:tc>
        <w:tc>
          <w:tcPr>
            <w:tcW w:w="1081"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双凤村　</w:t>
            </w:r>
          </w:p>
        </w:tc>
        <w:tc>
          <w:tcPr>
            <w:tcW w:w="1539" w:type="dxa"/>
            <w:gridSpan w:val="4"/>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彭家蓬　</w:t>
            </w:r>
          </w:p>
        </w:tc>
        <w:tc>
          <w:tcPr>
            <w:tcW w:w="123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63</w:t>
            </w:r>
          </w:p>
        </w:tc>
        <w:tc>
          <w:tcPr>
            <w:tcW w:w="1232"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10</w:t>
            </w:r>
          </w:p>
        </w:tc>
        <w:tc>
          <w:tcPr>
            <w:tcW w:w="1233"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35　</w:t>
            </w:r>
          </w:p>
        </w:tc>
        <w:tc>
          <w:tcPr>
            <w:tcW w:w="1559"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村后高地农户家</w:t>
            </w:r>
          </w:p>
        </w:tc>
        <w:tc>
          <w:tcPr>
            <w:tcW w:w="1367" w:type="dxa"/>
            <w:gridSpan w:val="2"/>
            <w:tcBorders>
              <w:top w:val="nil"/>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0.1</w:t>
            </w:r>
          </w:p>
        </w:tc>
        <w:tc>
          <w:tcPr>
            <w:tcW w:w="2625" w:type="dxa"/>
            <w:gridSpan w:val="6"/>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就近</w:t>
            </w: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　徒步</w:t>
            </w:r>
          </w:p>
        </w:tc>
      </w:tr>
      <w:tr>
        <w:tblPrEx>
          <w:tblCellMar>
            <w:top w:w="0" w:type="dxa"/>
            <w:left w:w="108" w:type="dxa"/>
            <w:bottom w:w="0" w:type="dxa"/>
            <w:right w:w="108" w:type="dxa"/>
          </w:tblCellMar>
        </w:tblPrEx>
        <w:trPr>
          <w:trHeight w:val="308" w:hRule="atLeast"/>
          <w:jc w:val="center"/>
        </w:trPr>
        <w:tc>
          <w:tcPr>
            <w:tcW w:w="426" w:type="dxa"/>
            <w:vMerge w:val="continue"/>
            <w:tcBorders>
              <w:top w:val="nil"/>
              <w:left w:val="single" w:color="auto" w:sz="4" w:space="0"/>
              <w:bottom w:val="nil"/>
              <w:right w:val="single" w:color="auto" w:sz="4" w:space="0"/>
            </w:tcBorders>
            <w:vAlign w:val="center"/>
          </w:tcPr>
          <w:p>
            <w:pPr>
              <w:spacing w:line="320" w:lineRule="exact"/>
              <w:rPr>
                <w:rFonts w:hint="eastAsia" w:ascii="仿宋" w:hAnsi="仿宋" w:eastAsia="仿宋" w:cs="仿宋"/>
                <w:sz w:val="24"/>
                <w:szCs w:val="24"/>
              </w:rPr>
            </w:pPr>
          </w:p>
        </w:tc>
        <w:tc>
          <w:tcPr>
            <w:tcW w:w="1083" w:type="dxa"/>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湘湖镇　</w:t>
            </w:r>
          </w:p>
        </w:tc>
        <w:tc>
          <w:tcPr>
            <w:tcW w:w="1081" w:type="dxa"/>
            <w:gridSpan w:val="4"/>
            <w:tcBorders>
              <w:top w:val="single" w:color="auto" w:sz="4" w:space="0"/>
              <w:left w:val="nil"/>
              <w:bottom w:val="single" w:color="auto" w:sz="4" w:space="0"/>
              <w:right w:val="single" w:color="auto" w:sz="4" w:space="0"/>
            </w:tcBorders>
            <w:shd w:val="clear" w:color="auto" w:fill="auto"/>
            <w:noWrap/>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双凤村　</w:t>
            </w:r>
          </w:p>
        </w:tc>
        <w:tc>
          <w:tcPr>
            <w:tcW w:w="1539" w:type="dxa"/>
            <w:gridSpan w:val="4"/>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4"/>
                <w:szCs w:val="24"/>
              </w:rPr>
            </w:pPr>
            <w:r>
              <w:rPr>
                <w:rFonts w:hint="eastAsia" w:ascii="仿宋" w:hAnsi="仿宋" w:eastAsia="仿宋" w:cs="仿宋"/>
                <w:sz w:val="24"/>
                <w:szCs w:val="24"/>
              </w:rPr>
              <w:t>　谢家</w:t>
            </w:r>
          </w:p>
        </w:tc>
        <w:tc>
          <w:tcPr>
            <w:tcW w:w="1239"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4"/>
                <w:szCs w:val="24"/>
              </w:rPr>
            </w:pPr>
            <w:r>
              <w:rPr>
                <w:rFonts w:hint="eastAsia" w:ascii="仿宋" w:hAnsi="仿宋" w:eastAsia="仿宋" w:cs="仿宋"/>
                <w:sz w:val="24"/>
                <w:szCs w:val="24"/>
              </w:rPr>
              <w:t>　49</w:t>
            </w:r>
          </w:p>
        </w:tc>
        <w:tc>
          <w:tcPr>
            <w:tcW w:w="1232"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4"/>
                <w:szCs w:val="24"/>
              </w:rPr>
            </w:pPr>
            <w:r>
              <w:rPr>
                <w:rFonts w:hint="eastAsia" w:ascii="仿宋" w:hAnsi="仿宋" w:eastAsia="仿宋" w:cs="仿宋"/>
                <w:sz w:val="24"/>
                <w:szCs w:val="24"/>
              </w:rPr>
              <w:t>　14</w:t>
            </w:r>
          </w:p>
        </w:tc>
        <w:tc>
          <w:tcPr>
            <w:tcW w:w="1233"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4"/>
                <w:szCs w:val="24"/>
              </w:rPr>
            </w:pPr>
            <w:r>
              <w:rPr>
                <w:rFonts w:hint="eastAsia" w:ascii="仿宋" w:hAnsi="仿宋" w:eastAsia="仿宋" w:cs="仿宋"/>
                <w:sz w:val="24"/>
                <w:szCs w:val="24"/>
              </w:rPr>
              <w:t>　45</w:t>
            </w:r>
          </w:p>
        </w:tc>
        <w:tc>
          <w:tcPr>
            <w:tcW w:w="1559"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4"/>
                <w:szCs w:val="24"/>
              </w:rPr>
            </w:pPr>
            <w:r>
              <w:rPr>
                <w:rFonts w:hint="eastAsia" w:ascii="仿宋" w:hAnsi="仿宋" w:eastAsia="仿宋" w:cs="仿宋"/>
                <w:sz w:val="24"/>
                <w:szCs w:val="24"/>
              </w:rPr>
              <w:t>　双凤小学</w:t>
            </w:r>
          </w:p>
        </w:tc>
        <w:tc>
          <w:tcPr>
            <w:tcW w:w="1367"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4"/>
                <w:szCs w:val="24"/>
              </w:rPr>
            </w:pPr>
            <w:r>
              <w:rPr>
                <w:rFonts w:hint="eastAsia" w:ascii="仿宋" w:hAnsi="仿宋" w:eastAsia="仿宋" w:cs="仿宋"/>
                <w:sz w:val="24"/>
                <w:szCs w:val="24"/>
              </w:rPr>
              <w:t>　0.5</w:t>
            </w:r>
          </w:p>
        </w:tc>
        <w:tc>
          <w:tcPr>
            <w:tcW w:w="2625" w:type="dxa"/>
            <w:gridSpan w:val="6"/>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　　景白公路</w:t>
            </w: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r>
              <w:rPr>
                <w:rFonts w:hint="eastAsia" w:ascii="仿宋" w:hAnsi="仿宋" w:eastAsia="仿宋" w:cs="仿宋"/>
                <w:sz w:val="24"/>
                <w:szCs w:val="24"/>
              </w:rPr>
              <w:t>汽车　</w:t>
            </w:r>
          </w:p>
        </w:tc>
      </w:tr>
      <w:tr>
        <w:tblPrEx>
          <w:tblCellMar>
            <w:top w:w="0" w:type="dxa"/>
            <w:left w:w="108" w:type="dxa"/>
            <w:bottom w:w="0" w:type="dxa"/>
            <w:right w:w="108" w:type="dxa"/>
          </w:tblCellMar>
        </w:tblPrEx>
        <w:trPr>
          <w:trHeight w:val="308" w:hRule="atLeast"/>
          <w:jc w:val="center"/>
        </w:trPr>
        <w:tc>
          <w:tcPr>
            <w:tcW w:w="426" w:type="dxa"/>
            <w:tcBorders>
              <w:top w:val="nil"/>
              <w:left w:val="single" w:color="auto" w:sz="4" w:space="0"/>
              <w:bottom w:val="single" w:color="auto" w:sz="4" w:space="0"/>
              <w:right w:val="single" w:color="auto" w:sz="4" w:space="0"/>
            </w:tcBorders>
            <w:vAlign w:val="center"/>
          </w:tcPr>
          <w:p>
            <w:pPr>
              <w:spacing w:line="320" w:lineRule="exact"/>
              <w:rPr>
                <w:rFonts w:hint="eastAsia" w:ascii="仿宋" w:hAnsi="仿宋" w:eastAsia="仿宋" w:cs="仿宋"/>
                <w:sz w:val="24"/>
                <w:szCs w:val="24"/>
              </w:rPr>
            </w:pPr>
          </w:p>
        </w:tc>
        <w:tc>
          <w:tcPr>
            <w:tcW w:w="1083" w:type="dxa"/>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4"/>
                <w:szCs w:val="24"/>
              </w:rPr>
            </w:pPr>
          </w:p>
        </w:tc>
        <w:tc>
          <w:tcPr>
            <w:tcW w:w="1081" w:type="dxa"/>
            <w:gridSpan w:val="4"/>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4"/>
                <w:szCs w:val="24"/>
              </w:rPr>
            </w:pPr>
          </w:p>
        </w:tc>
        <w:tc>
          <w:tcPr>
            <w:tcW w:w="1539" w:type="dxa"/>
            <w:gridSpan w:val="4"/>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4"/>
                <w:szCs w:val="24"/>
              </w:rPr>
            </w:pPr>
          </w:p>
        </w:tc>
        <w:tc>
          <w:tcPr>
            <w:tcW w:w="1239"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4"/>
                <w:szCs w:val="24"/>
              </w:rPr>
            </w:pPr>
          </w:p>
        </w:tc>
        <w:tc>
          <w:tcPr>
            <w:tcW w:w="1232"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4"/>
                <w:szCs w:val="24"/>
              </w:rPr>
            </w:pPr>
          </w:p>
        </w:tc>
        <w:tc>
          <w:tcPr>
            <w:tcW w:w="1233"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4"/>
                <w:szCs w:val="24"/>
              </w:rPr>
            </w:pPr>
          </w:p>
        </w:tc>
        <w:tc>
          <w:tcPr>
            <w:tcW w:w="1559"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4"/>
                <w:szCs w:val="24"/>
              </w:rPr>
            </w:pPr>
          </w:p>
        </w:tc>
        <w:tc>
          <w:tcPr>
            <w:tcW w:w="1367" w:type="dxa"/>
            <w:gridSpan w:val="2"/>
            <w:tcBorders>
              <w:top w:val="single" w:color="auto" w:sz="4" w:space="0"/>
              <w:left w:val="nil"/>
              <w:bottom w:val="single" w:color="auto" w:sz="4" w:space="0"/>
              <w:right w:val="single" w:color="auto" w:sz="4" w:space="0"/>
            </w:tcBorders>
            <w:shd w:val="clear" w:color="auto" w:fill="auto"/>
            <w:noWrap/>
            <w:vAlign w:val="bottom"/>
          </w:tcPr>
          <w:p>
            <w:pPr>
              <w:spacing w:line="320" w:lineRule="exact"/>
              <w:rPr>
                <w:rFonts w:hint="eastAsia" w:ascii="仿宋" w:hAnsi="仿宋" w:eastAsia="仿宋" w:cs="仿宋"/>
                <w:sz w:val="24"/>
                <w:szCs w:val="24"/>
              </w:rPr>
            </w:pPr>
          </w:p>
        </w:tc>
        <w:tc>
          <w:tcPr>
            <w:tcW w:w="2625" w:type="dxa"/>
            <w:gridSpan w:val="6"/>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p>
        </w:tc>
        <w:tc>
          <w:tcPr>
            <w:tcW w:w="1826" w:type="dxa"/>
            <w:gridSpan w:val="3"/>
            <w:tcBorders>
              <w:top w:val="single" w:color="auto" w:sz="4" w:space="0"/>
              <w:left w:val="nil"/>
              <w:bottom w:val="single" w:color="auto" w:sz="4" w:space="0"/>
              <w:right w:val="single" w:color="auto" w:sz="4" w:space="0"/>
            </w:tcBorders>
            <w:shd w:val="clear" w:color="auto" w:fill="auto"/>
            <w:vAlign w:val="center"/>
          </w:tcPr>
          <w:p>
            <w:pPr>
              <w:spacing w:line="320" w:lineRule="exact"/>
              <w:jc w:val="center"/>
              <w:rPr>
                <w:rFonts w:hint="eastAsia" w:ascii="仿宋" w:hAnsi="仿宋" w:eastAsia="仿宋" w:cs="仿宋"/>
                <w:sz w:val="24"/>
                <w:szCs w:val="24"/>
              </w:rPr>
            </w:pPr>
          </w:p>
        </w:tc>
      </w:tr>
    </w:tbl>
    <w:p>
      <w:pPr>
        <w:pStyle w:val="7"/>
        <w:spacing w:line="20" w:lineRule="exact"/>
        <w:ind w:firstLine="0" w:firstLineChars="0"/>
        <w:jc w:val="left"/>
        <w:outlineLvl w:val="1"/>
      </w:pPr>
    </w:p>
    <w:sectPr>
      <w:pgSz w:w="16838" w:h="11906" w:orient="landscape"/>
      <w:pgMar w:top="720" w:right="720" w:bottom="720" w:left="720" w:header="851" w:footer="992" w:gutter="0"/>
      <w:cols w:space="425" w:num="1"/>
      <w:docGrid w:type="linesAndChar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A1"/>
    <w:family w:val="modern"/>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auto"/>
    <w:pitch w:val="default"/>
    <w:sig w:usb0="00000001" w:usb1="080E0000" w:usb2="00000000" w:usb3="00000000" w:csb0="00040000" w:csb1="00000000"/>
  </w:font>
  <w:font w:name="方正小标宋简体">
    <w:panose1 w:val="02010601030101010101"/>
    <w:charset w:val="86"/>
    <w:family w:val="auto"/>
    <w:pitch w:val="default"/>
    <w:sig w:usb0="00000001"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pPr>
      <w:r>
        <w:separator/>
      </w:r>
    </w:p>
  </w:footnote>
  <w:footnote w:type="continuationSeparator" w:id="1">
    <w:p>
      <w:pPr>
        <w:spacing w:line="36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ODZlMzQ1MjVkNzNiNmJmMDk2Y2NhNDBiMWEyYzViMDUifQ=="/>
  </w:docVars>
  <w:rsids>
    <w:rsidRoot w:val="00F8538F"/>
    <w:rsid w:val="000102AE"/>
    <w:rsid w:val="000216B4"/>
    <w:rsid w:val="00066211"/>
    <w:rsid w:val="000E00A7"/>
    <w:rsid w:val="00157099"/>
    <w:rsid w:val="001868B2"/>
    <w:rsid w:val="001F00DA"/>
    <w:rsid w:val="001F289A"/>
    <w:rsid w:val="00210007"/>
    <w:rsid w:val="0023419C"/>
    <w:rsid w:val="00264718"/>
    <w:rsid w:val="00344F92"/>
    <w:rsid w:val="003974D5"/>
    <w:rsid w:val="004114CE"/>
    <w:rsid w:val="00430C74"/>
    <w:rsid w:val="00477371"/>
    <w:rsid w:val="004838B8"/>
    <w:rsid w:val="0051172E"/>
    <w:rsid w:val="00617951"/>
    <w:rsid w:val="006429CB"/>
    <w:rsid w:val="00657CE1"/>
    <w:rsid w:val="00662232"/>
    <w:rsid w:val="006810FE"/>
    <w:rsid w:val="00684864"/>
    <w:rsid w:val="006877A6"/>
    <w:rsid w:val="00687829"/>
    <w:rsid w:val="006B7713"/>
    <w:rsid w:val="006E514F"/>
    <w:rsid w:val="006F7A39"/>
    <w:rsid w:val="00735580"/>
    <w:rsid w:val="0073728B"/>
    <w:rsid w:val="007B10BB"/>
    <w:rsid w:val="00851636"/>
    <w:rsid w:val="00886C0E"/>
    <w:rsid w:val="008C414C"/>
    <w:rsid w:val="008C6CDA"/>
    <w:rsid w:val="008D5C11"/>
    <w:rsid w:val="00995282"/>
    <w:rsid w:val="009B1865"/>
    <w:rsid w:val="00A23F6A"/>
    <w:rsid w:val="00A30EBB"/>
    <w:rsid w:val="00A617EB"/>
    <w:rsid w:val="00A65608"/>
    <w:rsid w:val="00A8074D"/>
    <w:rsid w:val="00BB41F4"/>
    <w:rsid w:val="00CB0117"/>
    <w:rsid w:val="00D4351A"/>
    <w:rsid w:val="00D75309"/>
    <w:rsid w:val="00D765C1"/>
    <w:rsid w:val="00E833EB"/>
    <w:rsid w:val="00E87612"/>
    <w:rsid w:val="00EB608A"/>
    <w:rsid w:val="00EF78DD"/>
    <w:rsid w:val="00F82932"/>
    <w:rsid w:val="00F8538F"/>
    <w:rsid w:val="19DD7B2F"/>
    <w:rsid w:val="2C3816D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name="header"/>
    <w:lsdException w:qFormat="1"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360" w:lineRule="auto"/>
      <w:jc w:val="both"/>
    </w:pPr>
    <w:rPr>
      <w:rFonts w:ascii="Calibri" w:hAnsi="Calibri" w:eastAsia="仿宋_GB2312" w:cs="宋体"/>
      <w:kern w:val="2"/>
      <w:sz w:val="24"/>
      <w:szCs w:val="24"/>
      <w:lang w:val="en-US" w:eastAsia="zh-CN" w:bidi="ar-SA"/>
    </w:rPr>
  </w:style>
  <w:style w:type="character" w:default="1" w:styleId="6">
    <w:name w:val="Default Paragraph Font"/>
    <w:semiHidden/>
    <w:unhideWhenUsed/>
    <w:uiPriority w:val="1"/>
  </w:style>
  <w:style w:type="table" w:default="1" w:styleId="5">
    <w:name w:val="Normal Table"/>
    <w:semiHidden/>
    <w:unhideWhenUsed/>
    <w:qFormat/>
    <w:uiPriority w:val="99"/>
    <w:tblPr>
      <w:tblCellMar>
        <w:top w:w="0" w:type="dxa"/>
        <w:left w:w="108" w:type="dxa"/>
        <w:bottom w:w="0" w:type="dxa"/>
        <w:right w:w="108" w:type="dxa"/>
      </w:tblCellMar>
    </w:tblPr>
  </w:style>
  <w:style w:type="paragraph" w:styleId="2">
    <w:name w:val="Balloon Text"/>
    <w:basedOn w:val="1"/>
    <w:link w:val="10"/>
    <w:autoRedefine/>
    <w:semiHidden/>
    <w:unhideWhenUsed/>
    <w:qFormat/>
    <w:uiPriority w:val="99"/>
    <w:pPr>
      <w:spacing w:line="240" w:lineRule="auto"/>
    </w:pPr>
    <w:rPr>
      <w:sz w:val="18"/>
      <w:szCs w:val="18"/>
    </w:rPr>
  </w:style>
  <w:style w:type="paragraph" w:styleId="3">
    <w:name w:val="footer"/>
    <w:basedOn w:val="1"/>
    <w:link w:val="9"/>
    <w:autoRedefine/>
    <w:semiHidden/>
    <w:unhideWhenUsed/>
    <w:qFormat/>
    <w:uiPriority w:val="99"/>
    <w:pPr>
      <w:tabs>
        <w:tab w:val="center" w:pos="4153"/>
        <w:tab w:val="right" w:pos="8306"/>
      </w:tabs>
      <w:snapToGrid w:val="0"/>
      <w:spacing w:line="240" w:lineRule="auto"/>
      <w:jc w:val="left"/>
    </w:pPr>
    <w:rPr>
      <w:sz w:val="18"/>
      <w:szCs w:val="18"/>
    </w:rPr>
  </w:style>
  <w:style w:type="paragraph" w:styleId="4">
    <w:name w:val="header"/>
    <w:basedOn w:val="1"/>
    <w:link w:val="8"/>
    <w:autoRedefine/>
    <w:semiHidden/>
    <w:unhideWhenUsed/>
    <w:qFormat/>
    <w:uiPriority w:val="99"/>
    <w:pPr>
      <w:pBdr>
        <w:bottom w:val="single" w:color="auto" w:sz="6" w:space="1"/>
      </w:pBdr>
      <w:tabs>
        <w:tab w:val="center" w:pos="4153"/>
        <w:tab w:val="right" w:pos="8306"/>
      </w:tabs>
      <w:snapToGrid w:val="0"/>
      <w:spacing w:line="240" w:lineRule="auto"/>
      <w:jc w:val="center"/>
    </w:pPr>
    <w:rPr>
      <w:sz w:val="18"/>
      <w:szCs w:val="18"/>
    </w:rPr>
  </w:style>
  <w:style w:type="paragraph" w:styleId="7">
    <w:name w:val="List Paragraph"/>
    <w:basedOn w:val="1"/>
    <w:qFormat/>
    <w:uiPriority w:val="34"/>
    <w:pPr>
      <w:ind w:firstLine="420" w:firstLineChars="200"/>
    </w:pPr>
  </w:style>
  <w:style w:type="character" w:customStyle="1" w:styleId="8">
    <w:name w:val="页眉 Char"/>
    <w:basedOn w:val="6"/>
    <w:link w:val="4"/>
    <w:autoRedefine/>
    <w:semiHidden/>
    <w:qFormat/>
    <w:uiPriority w:val="99"/>
    <w:rPr>
      <w:rFonts w:ascii="Calibri" w:hAnsi="Calibri" w:eastAsia="仿宋_GB2312" w:cs="宋体"/>
      <w:sz w:val="18"/>
      <w:szCs w:val="18"/>
    </w:rPr>
  </w:style>
  <w:style w:type="character" w:customStyle="1" w:styleId="9">
    <w:name w:val="页脚 Char"/>
    <w:basedOn w:val="6"/>
    <w:link w:val="3"/>
    <w:autoRedefine/>
    <w:semiHidden/>
    <w:qFormat/>
    <w:uiPriority w:val="99"/>
    <w:rPr>
      <w:rFonts w:ascii="Calibri" w:hAnsi="Calibri" w:eastAsia="仿宋_GB2312" w:cs="宋体"/>
      <w:sz w:val="18"/>
      <w:szCs w:val="18"/>
    </w:rPr>
  </w:style>
  <w:style w:type="character" w:customStyle="1" w:styleId="10">
    <w:name w:val="批注框文本 Char"/>
    <w:basedOn w:val="6"/>
    <w:link w:val="2"/>
    <w:autoRedefine/>
    <w:semiHidden/>
    <w:qFormat/>
    <w:uiPriority w:val="99"/>
    <w:rPr>
      <w:rFonts w:ascii="Calibri" w:hAnsi="Calibri" w:eastAsia="仿宋_GB2312" w:cs="宋体"/>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wmf"/><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0" Type="http://schemas.openxmlformats.org/officeDocument/2006/relationships/fontTable" Target="fontTable.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10</Pages>
  <Words>578</Words>
  <Characters>3297</Characters>
  <Lines>27</Lines>
  <Paragraphs>7</Paragraphs>
  <TotalTime>0</TotalTime>
  <ScaleCrop>false</ScaleCrop>
  <LinksUpToDate>false</LinksUpToDate>
  <CharactersWithSpaces>3868</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2018-05-23T02:02:00Z</dcterms:created>
  <dc:creator>Administrator</dc:creator>
  <cp:lastModifiedBy>浮梁县</cp:lastModifiedBy>
  <cp:lastPrinted>2018-05-21T08:01:00Z</cp:lastPrinted>
  <dcterms:modified xsi:type="dcterms:W3CDTF">2024-03-13T15:30:58Z</dcterms:modified>
  <cp:revision>13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F701E63D118143FB9121C8E57A2BA14B_12</vt:lpwstr>
  </property>
</Properties>
</file>